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atLeast"/>
        <w:jc w:val="center"/>
        <w:rPr>
          <w:rFonts w:ascii="方正小标宋_GBK" w:eastAsia="方正小标宋_GBK"/>
          <w:sz w:val="44"/>
          <w:szCs w:val="44"/>
        </w:rPr>
      </w:pPr>
      <w:bookmarkStart w:id="0" w:name="_GoBack"/>
      <w:bookmarkEnd w:id="0"/>
    </w:p>
    <w:p>
      <w:pPr>
        <w:snapToGrid w:val="0"/>
        <w:spacing w:line="600" w:lineRule="atLeast"/>
        <w:jc w:val="center"/>
        <w:rPr>
          <w:rFonts w:ascii="方正仿宋_GBK" w:eastAsia="方正仿宋_GBK"/>
          <w:sz w:val="32"/>
          <w:szCs w:val="32"/>
        </w:rPr>
      </w:pPr>
    </w:p>
    <w:p>
      <w:pPr>
        <w:snapToGrid w:val="0"/>
        <w:spacing w:line="600" w:lineRule="atLeast"/>
        <w:jc w:val="center"/>
        <w:rPr>
          <w:rFonts w:ascii="方正仿宋_GBK" w:eastAsia="方正仿宋_GBK"/>
          <w:sz w:val="32"/>
          <w:szCs w:val="32"/>
        </w:rPr>
      </w:pPr>
    </w:p>
    <w:p>
      <w:pPr>
        <w:snapToGrid w:val="0"/>
        <w:spacing w:line="600" w:lineRule="atLeast"/>
        <w:ind w:firstLine="0"/>
        <w:jc w:val="center"/>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after="581" w:afterLines="100" w:line="600" w:lineRule="atLeast"/>
        <w:ind w:left="0" w:leftChars="0" w:right="0" w:rightChars="0" w:firstLine="0" w:firstLineChars="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海卫健发〔2020〕</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号</w:t>
      </w:r>
    </w:p>
    <w:p>
      <w:pPr>
        <w:snapToGrid w:val="0"/>
        <w:spacing w:line="600" w:lineRule="atLeast"/>
        <w:rPr>
          <w:rFonts w:ascii="方正小标宋_GBK" w:eastAsia="方正小标宋_GBK"/>
          <w:sz w:val="44"/>
          <w:szCs w:val="44"/>
        </w:rPr>
      </w:pPr>
    </w:p>
    <w:p>
      <w:pPr>
        <w:spacing w:line="600" w:lineRule="exact"/>
        <w:ind w:left="0" w:leftChars="0" w:right="0" w:rightChars="0" w:firstLine="0" w:firstLineChars="0"/>
        <w:jc w:val="center"/>
        <w:rPr>
          <w:rFonts w:hint="eastAsia" w:ascii="方正大标宋_GBK" w:hAnsi="方正大标宋_GBK" w:eastAsia="方正大标宋_GBK" w:cs="方正大标宋_GBK"/>
          <w:sz w:val="44"/>
          <w:szCs w:val="44"/>
        </w:rPr>
      </w:pPr>
      <w:r>
        <w:rPr>
          <w:rFonts w:hint="eastAsia" w:ascii="方正大标宋_GBK" w:hAnsi="方正大标宋_GBK" w:eastAsia="方正大标宋_GBK" w:cs="方正大标宋_GBK"/>
          <w:sz w:val="44"/>
          <w:szCs w:val="44"/>
        </w:rPr>
        <w:t>海安市</w:t>
      </w:r>
      <w:r>
        <w:rPr>
          <w:rFonts w:hint="eastAsia" w:ascii="方正大标宋_GBK" w:hAnsi="方正大标宋_GBK" w:eastAsia="方正大标宋_GBK" w:cs="方正大标宋_GBK"/>
          <w:sz w:val="44"/>
          <w:szCs w:val="44"/>
          <w:lang w:eastAsia="zh-CN"/>
        </w:rPr>
        <w:t>医疗卫生系统</w:t>
      </w:r>
      <w:r>
        <w:rPr>
          <w:rFonts w:hint="eastAsia" w:ascii="方正大标宋_GBK" w:hAnsi="方正大标宋_GBK" w:eastAsia="方正大标宋_GBK" w:cs="方正大标宋_GBK"/>
          <w:sz w:val="44"/>
          <w:szCs w:val="44"/>
        </w:rPr>
        <w:t>打通“生命通道”</w:t>
      </w:r>
    </w:p>
    <w:p>
      <w:pPr>
        <w:spacing w:line="600" w:lineRule="exact"/>
        <w:ind w:left="0" w:leftChars="0" w:right="0" w:rightChars="0" w:firstLine="0" w:firstLineChars="0"/>
        <w:jc w:val="center"/>
        <w:rPr>
          <w:rFonts w:hint="eastAsia" w:ascii="方正大标宋_GBK" w:hAnsi="方正大标宋_GBK" w:eastAsia="方正大标宋_GBK" w:cs="方正大标宋_GBK"/>
          <w:sz w:val="44"/>
          <w:szCs w:val="44"/>
        </w:rPr>
      </w:pPr>
      <w:r>
        <w:rPr>
          <w:rFonts w:hint="eastAsia" w:ascii="方正大标宋_GBK" w:hAnsi="方正大标宋_GBK" w:eastAsia="方正大标宋_GBK" w:cs="方正大标宋_GBK"/>
          <w:sz w:val="44"/>
          <w:szCs w:val="44"/>
        </w:rPr>
        <w:t>集中攻坚行动实施方案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lang w:eastAsia="zh-CN"/>
        </w:rPr>
      </w:pPr>
      <w:r>
        <w:rPr>
          <w:rFonts w:hint="eastAsia" w:ascii="仿宋_GB2312" w:eastAsia="仿宋_GB2312"/>
          <w:sz w:val="32"/>
          <w:szCs w:val="32"/>
          <w:lang w:eastAsia="zh-CN"/>
        </w:rPr>
        <w:t>各医疗卫生单位：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根据全省、</w:t>
      </w:r>
      <w:r>
        <w:rPr>
          <w:rFonts w:hint="eastAsia" w:ascii="仿宋_GB2312" w:eastAsia="仿宋_GB2312"/>
          <w:sz w:val="32"/>
          <w:szCs w:val="32"/>
          <w:lang w:eastAsia="zh-CN"/>
        </w:rPr>
        <w:t>南通市</w:t>
      </w:r>
      <w:r>
        <w:rPr>
          <w:rFonts w:hint="eastAsia" w:ascii="仿宋_GB2312" w:eastAsia="仿宋_GB2312"/>
          <w:sz w:val="32"/>
          <w:szCs w:val="32"/>
        </w:rPr>
        <w:t>统一部署和《南通市</w:t>
      </w:r>
      <w:r>
        <w:rPr>
          <w:rFonts w:hint="eastAsia" w:ascii="仿宋_GB2312" w:eastAsia="仿宋_GB2312"/>
          <w:sz w:val="32"/>
          <w:szCs w:val="32"/>
          <w:lang w:eastAsia="zh-CN"/>
        </w:rPr>
        <w:t>卫生健康委员会</w:t>
      </w:r>
      <w:r>
        <w:rPr>
          <w:rFonts w:hint="eastAsia" w:ascii="仿宋_GB2312" w:eastAsia="仿宋_GB2312"/>
          <w:sz w:val="32"/>
          <w:szCs w:val="32"/>
        </w:rPr>
        <w:t>关于做好打通“生命通道”集中治理行动的通知》《海安市打通“生命通道”集中攻坚行动实施方案》，结合海安市</w:t>
      </w:r>
      <w:r>
        <w:rPr>
          <w:rFonts w:hint="eastAsia" w:ascii="仿宋_GB2312" w:eastAsia="仿宋_GB2312"/>
          <w:sz w:val="32"/>
          <w:szCs w:val="32"/>
          <w:lang w:eastAsia="zh-CN"/>
        </w:rPr>
        <w:t>医疗卫生系统的</w:t>
      </w:r>
      <w:r>
        <w:rPr>
          <w:rFonts w:hint="eastAsia" w:ascii="仿宋_GB2312" w:eastAsia="仿宋_GB2312"/>
          <w:sz w:val="32"/>
          <w:szCs w:val="32"/>
        </w:rPr>
        <w:t>安全专项整治行动</w:t>
      </w:r>
      <w:r>
        <w:rPr>
          <w:rFonts w:hint="eastAsia" w:ascii="仿宋_GB2312" w:eastAsia="仿宋_GB2312"/>
          <w:sz w:val="32"/>
          <w:szCs w:val="32"/>
          <w:lang w:eastAsia="zh-CN"/>
        </w:rPr>
        <w:t>实际</w:t>
      </w:r>
      <w:r>
        <w:rPr>
          <w:rFonts w:hint="eastAsia" w:ascii="仿宋_GB2312" w:eastAsia="仿宋_GB2312"/>
          <w:sz w:val="32"/>
          <w:szCs w:val="32"/>
        </w:rPr>
        <w:t>，制定本方案。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集中</w:t>
      </w:r>
      <w:r>
        <w:rPr>
          <w:rFonts w:hint="eastAsia" w:ascii="黑体" w:hAnsi="黑体" w:eastAsia="黑体" w:cs="黑体"/>
          <w:sz w:val="32"/>
          <w:szCs w:val="32"/>
        </w:rPr>
        <w:t>攻坚行动目标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坚持以人民为中心的发展思想，突出问题导向，强化底线思维，按照政府统一领导、部门依法监管、单位全面负责、公民守法自律的原则，采取标准化标识、全覆盖公告、网格化实施、严执法惩戒、责任化落实、高质量验收、常态化管理等措施，全面开展打通“生命通道”集中攻坚行动，确保消防车通道标线、标识施划到位，可移动障碍物清理到位，违停车辆等违法行为查处到位，着力提升消防车通道管理水平，切实保障灭火救援作战行动高效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、集中攻坚时间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2020年2月至2020年4月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、集中攻坚任务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（一）标线、标识施划到位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1.大门口。在</w:t>
      </w:r>
      <w:r>
        <w:rPr>
          <w:rFonts w:hint="eastAsia" w:ascii="仿宋_GB2312" w:eastAsia="仿宋_GB2312"/>
          <w:sz w:val="32"/>
          <w:szCs w:val="32"/>
          <w:lang w:eastAsia="zh-CN"/>
        </w:rPr>
        <w:t>单位</w:t>
      </w:r>
      <w:r>
        <w:rPr>
          <w:rFonts w:hint="eastAsia" w:ascii="仿宋_GB2312" w:eastAsia="仿宋_GB2312"/>
          <w:sz w:val="32"/>
          <w:szCs w:val="32"/>
        </w:rPr>
        <w:t>大门口及其他消防车通道出入口路面，按照消防车通道净宽，划设醒目的“消防车通道出入口禁停标线及路面警示标志”</w:t>
      </w:r>
      <w:r>
        <w:rPr>
          <w:rFonts w:hint="eastAsia" w:ascii="仿宋_GB2312" w:eastAsia="仿宋_GB2312"/>
          <w:sz w:val="32"/>
          <w:szCs w:val="32"/>
          <w:lang w:eastAsia="zh-CN"/>
        </w:rPr>
        <w:t>（</w:t>
      </w:r>
      <w:r>
        <w:rPr>
          <w:rFonts w:hint="eastAsia" w:ascii="仿宋_GB2312" w:eastAsia="仿宋_GB2312"/>
          <w:sz w:val="32"/>
          <w:szCs w:val="32"/>
        </w:rPr>
        <w:t>附件1示例2</w:t>
      </w:r>
      <w:r>
        <w:rPr>
          <w:rFonts w:hint="eastAsia" w:ascii="仿宋_GB2312" w:eastAsia="仿宋_GB2312"/>
          <w:sz w:val="32"/>
          <w:szCs w:val="32"/>
          <w:lang w:eastAsia="zh-CN"/>
        </w:rPr>
        <w:t>）</w:t>
      </w:r>
      <w:r>
        <w:rPr>
          <w:rFonts w:hint="eastAsia" w:ascii="仿宋_GB2312" w:eastAsia="仿宋_GB2312"/>
          <w:sz w:val="32"/>
          <w:szCs w:val="32"/>
        </w:rPr>
        <w:t>。此前已经施划禁停网格线的，不再施划消防通道出入口警示标线标志。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sz w:val="32"/>
          <w:szCs w:val="32"/>
        </w:rPr>
      </w:pPr>
      <w:r>
        <w:rPr>
          <w:rFonts w:ascii="仿宋_GB2312" w:hAnsi="黑体" w:eastAsia="仿宋_GB2312" w:cs="黑体"/>
          <w:b/>
          <w:sz w:val="32"/>
          <w:szCs w:val="32"/>
        </w:rPr>
        <w:t>2.</w:t>
      </w:r>
      <w:r>
        <w:rPr>
          <w:rFonts w:hint="eastAsia" w:ascii="仿宋_GB2312" w:hAnsi="黑体" w:eastAsia="仿宋_GB2312" w:cs="黑体"/>
          <w:b/>
          <w:sz w:val="32"/>
          <w:szCs w:val="32"/>
        </w:rPr>
        <w:t>内部消防通道。</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）在消防车通道</w:t>
      </w:r>
      <w:r>
        <w:rPr>
          <w:rFonts w:hint="eastAsia" w:ascii="仿宋_GB2312" w:eastAsia="仿宋_GB2312" w:cs="黑体"/>
          <w:sz w:val="32"/>
          <w:szCs w:val="32"/>
        </w:rPr>
        <w:t>（包括建筑物周边环绕通道）</w:t>
      </w:r>
      <w:r>
        <w:rPr>
          <w:rFonts w:hint="eastAsia" w:ascii="仿宋_GB2312" w:eastAsia="仿宋_GB2312"/>
          <w:sz w:val="32"/>
          <w:szCs w:val="32"/>
        </w:rPr>
        <w:t>路侧缘石立面和顶面施划黄色禁止停车标线；无缘石的道路在路面上施划禁止停车标线。（</w:t>
      </w:r>
      <w:r>
        <w:rPr>
          <w:rFonts w:ascii="仿宋_GB2312" w:eastAsia="仿宋_GB2312"/>
          <w:sz w:val="32"/>
          <w:szCs w:val="32"/>
        </w:rPr>
        <w:t>2</w:t>
      </w:r>
      <w:r>
        <w:rPr>
          <w:rFonts w:hint="eastAsia" w:ascii="仿宋_GB2312" w:eastAsia="仿宋_GB2312"/>
          <w:sz w:val="32"/>
          <w:szCs w:val="32"/>
        </w:rPr>
        <w:t>）</w:t>
      </w:r>
      <w:r>
        <w:rPr>
          <w:rFonts w:hint="eastAsia" w:ascii="仿宋_GB2312" w:eastAsia="仿宋_GB2312" w:cs="黑体"/>
          <w:sz w:val="32"/>
          <w:szCs w:val="32"/>
        </w:rPr>
        <w:t>每间隔</w:t>
      </w:r>
      <w:r>
        <w:rPr>
          <w:rFonts w:ascii="仿宋_GB2312" w:eastAsia="仿宋_GB2312" w:cs="黑体"/>
          <w:sz w:val="32"/>
          <w:szCs w:val="32"/>
        </w:rPr>
        <w:t>20</w:t>
      </w:r>
      <w:r>
        <w:rPr>
          <w:rFonts w:hint="eastAsia" w:ascii="仿宋_GB2312" w:eastAsia="仿宋_GB2312" w:cs="黑体"/>
          <w:sz w:val="32"/>
          <w:szCs w:val="32"/>
        </w:rPr>
        <w:t>米，施划“</w:t>
      </w:r>
      <w:r>
        <w:rPr>
          <w:rFonts w:hint="eastAsia" w:ascii="仿宋_GB2312" w:eastAsia="仿宋_GB2312"/>
          <w:sz w:val="32"/>
          <w:szCs w:val="32"/>
        </w:rPr>
        <w:t>消防车通道路侧禁停标线及路面警示标志”（附件</w:t>
      </w:r>
      <w:r>
        <w:rPr>
          <w:rFonts w:ascii="仿宋_GB2312" w:eastAsia="仿宋_GB2312"/>
          <w:sz w:val="32"/>
          <w:szCs w:val="32"/>
        </w:rPr>
        <w:t>1</w:t>
      </w:r>
      <w:r>
        <w:rPr>
          <w:rFonts w:hint="eastAsia" w:ascii="仿宋_GB2312" w:eastAsia="仿宋_GB2312"/>
          <w:sz w:val="32"/>
          <w:szCs w:val="32"/>
        </w:rPr>
        <w:t>示例</w:t>
      </w:r>
      <w:r>
        <w:rPr>
          <w:rFonts w:ascii="仿宋_GB2312" w:eastAsia="仿宋_GB2312"/>
          <w:sz w:val="32"/>
          <w:szCs w:val="32"/>
        </w:rPr>
        <w:t>1</w:t>
      </w: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）根据</w:t>
      </w:r>
      <w:r>
        <w:rPr>
          <w:rFonts w:hint="eastAsia" w:ascii="仿宋_GB2312" w:eastAsia="仿宋_GB2312"/>
          <w:sz w:val="32"/>
          <w:szCs w:val="32"/>
          <w:lang w:eastAsia="zh-CN"/>
        </w:rPr>
        <w:t>医疗卫生单位的</w:t>
      </w:r>
      <w:r>
        <w:rPr>
          <w:rFonts w:hint="eastAsia" w:ascii="仿宋_GB2312" w:eastAsia="仿宋_GB2312"/>
          <w:sz w:val="32"/>
          <w:szCs w:val="32"/>
        </w:rPr>
        <w:t>实际</w:t>
      </w:r>
      <w:r>
        <w:rPr>
          <w:rFonts w:hint="eastAsia" w:ascii="仿宋_GB2312" w:eastAsia="仿宋_GB2312"/>
          <w:sz w:val="32"/>
          <w:szCs w:val="32"/>
          <w:lang w:eastAsia="zh-CN"/>
        </w:rPr>
        <w:t>情况</w:t>
      </w:r>
      <w:r>
        <w:rPr>
          <w:rFonts w:hint="eastAsia" w:ascii="仿宋_GB2312" w:eastAsia="仿宋_GB2312"/>
          <w:sz w:val="32"/>
          <w:szCs w:val="32"/>
        </w:rPr>
        <w:t>，在易于被占用、易于堵塞的相关消防车通道两侧，设立“禁止占用警示牌”（附件</w:t>
      </w:r>
      <w:r>
        <w:rPr>
          <w:rFonts w:ascii="仿宋_GB2312" w:eastAsia="仿宋_GB2312"/>
          <w:sz w:val="32"/>
          <w:szCs w:val="32"/>
        </w:rPr>
        <w:t>1</w:t>
      </w:r>
      <w:r>
        <w:rPr>
          <w:rFonts w:hint="eastAsia" w:ascii="仿宋_GB2312" w:eastAsia="仿宋_GB2312"/>
          <w:sz w:val="32"/>
          <w:szCs w:val="32"/>
        </w:rPr>
        <w:t>示例</w:t>
      </w:r>
      <w:r>
        <w:rPr>
          <w:rFonts w:ascii="仿宋_GB2312" w:eastAsia="仿宋_GB2312"/>
          <w:sz w:val="32"/>
          <w:szCs w:val="32"/>
        </w:rPr>
        <w:t>3</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s="黑体"/>
          <w:sz w:val="32"/>
          <w:szCs w:val="32"/>
        </w:rPr>
      </w:pPr>
      <w:r>
        <w:rPr>
          <w:rFonts w:hint="eastAsia" w:ascii="仿宋_GB2312" w:eastAsia="仿宋_GB2312"/>
          <w:sz w:val="32"/>
          <w:szCs w:val="32"/>
        </w:rPr>
        <w:t>具体要求见《消防车通道标识设置标准》（附件</w:t>
      </w:r>
      <w:r>
        <w:rPr>
          <w:rFonts w:ascii="仿宋_GB2312" w:eastAsia="仿宋_GB2312"/>
          <w:sz w:val="32"/>
          <w:szCs w:val="32"/>
        </w:rPr>
        <w:t>1</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（二）通道清理整治到位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s="黑体"/>
          <w:sz w:val="32"/>
          <w:szCs w:val="32"/>
        </w:rPr>
      </w:pPr>
      <w:r>
        <w:rPr>
          <w:rFonts w:hint="eastAsia" w:ascii="仿宋_GB2312" w:hAnsi="黑体" w:eastAsia="仿宋_GB2312" w:cs="黑体"/>
          <w:sz w:val="32"/>
          <w:szCs w:val="32"/>
        </w:rPr>
        <w:t>各单位要切实履行消防通道管理主体责任，实施清理整治，确保消防通道畅通。重点整治</w:t>
      </w:r>
      <w:r>
        <w:rPr>
          <w:rFonts w:hint="eastAsia" w:ascii="仿宋_GB2312" w:eastAsia="仿宋_GB2312"/>
          <w:sz w:val="32"/>
          <w:szCs w:val="32"/>
        </w:rPr>
        <w:t>消防车通道上设置停车泊位、</w:t>
      </w:r>
      <w:r>
        <w:rPr>
          <w:rFonts w:hint="eastAsia" w:ascii="仿宋_GB2312" w:hAnsi="黑体" w:eastAsia="仿宋_GB2312" w:cs="黑体"/>
          <w:sz w:val="32"/>
          <w:szCs w:val="32"/>
        </w:rPr>
        <w:t>停放车辆，违法违章搭建，设置</w:t>
      </w:r>
      <w:r>
        <w:rPr>
          <w:rFonts w:hint="eastAsia" w:ascii="仿宋_GB2312" w:eastAsia="仿宋_GB2312"/>
          <w:sz w:val="32"/>
          <w:szCs w:val="32"/>
        </w:rPr>
        <w:t>固定隔离桩、隔离</w:t>
      </w:r>
      <w:r>
        <w:rPr>
          <w:rFonts w:hint="eastAsia" w:ascii="仿宋_GB2312" w:hAnsi="黑体" w:eastAsia="仿宋_GB2312" w:cs="黑体"/>
          <w:sz w:val="32"/>
          <w:szCs w:val="32"/>
        </w:rPr>
        <w:t>墩</w:t>
      </w:r>
      <w:r>
        <w:rPr>
          <w:rFonts w:hint="eastAsia" w:ascii="仿宋_GB2312" w:eastAsia="仿宋_GB2312"/>
          <w:sz w:val="32"/>
          <w:szCs w:val="32"/>
        </w:rPr>
        <w:t>等障碍物，消防车通道与建筑之间设有妨碍消防车举高操作的树木、架空管线、装饰物等障碍物；采用封闭式管理的消防车通道出入口，要落实在紧急情况下立即打开的保障措施。集中整治到位后，要</w:t>
      </w:r>
      <w:r>
        <w:rPr>
          <w:rFonts w:hint="eastAsia" w:ascii="仿宋_GB2312" w:hAnsi="黑体" w:eastAsia="仿宋_GB2312" w:cs="黑体"/>
          <w:sz w:val="32"/>
          <w:szCs w:val="32"/>
        </w:rPr>
        <w:t>落实长效监管措施。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（三）主题宣传教育到位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s="黑体"/>
          <w:sz w:val="32"/>
          <w:szCs w:val="32"/>
        </w:rPr>
      </w:pPr>
      <w:r>
        <w:rPr>
          <w:rFonts w:hint="eastAsia" w:ascii="仿宋_GB2312" w:hAnsi="黑体" w:eastAsia="仿宋_GB2312" w:cs="黑体"/>
          <w:sz w:val="32"/>
          <w:szCs w:val="32"/>
        </w:rPr>
        <w:t>一是在报栏、橱窗、宿舍、高层建筑及其他消防重点场所的进出通道显著部位，张贴</w:t>
      </w:r>
      <w:r>
        <w:rPr>
          <w:rFonts w:hint="eastAsia" w:ascii="仿宋_GB2312" w:eastAsia="仿宋_GB2312"/>
          <w:sz w:val="32"/>
          <w:szCs w:val="32"/>
        </w:rPr>
        <w:t>省消委办</w:t>
      </w:r>
      <w:r>
        <w:rPr>
          <w:rFonts w:hint="eastAsia" w:ascii="仿宋_GB2312" w:hAnsi="黑体" w:eastAsia="仿宋_GB2312" w:cs="黑体"/>
          <w:sz w:val="32"/>
          <w:szCs w:val="32"/>
        </w:rPr>
        <w:t>《关于开展打通“生命通道”集中治理行动的通告》</w:t>
      </w:r>
      <w:r>
        <w:rPr>
          <w:rFonts w:hint="eastAsia" w:ascii="仿宋_GB2312" w:hAnsi="黑体" w:eastAsia="仿宋_GB2312" w:cs="黑体"/>
          <w:sz w:val="32"/>
          <w:szCs w:val="32"/>
          <w:lang w:eastAsia="zh-CN"/>
        </w:rPr>
        <w:t>。</w:t>
      </w:r>
      <w:r>
        <w:rPr>
          <w:rFonts w:hint="eastAsia" w:ascii="仿宋_GB2312" w:hAnsi="黑体" w:eastAsia="仿宋_GB2312" w:cs="黑体"/>
          <w:sz w:val="32"/>
          <w:szCs w:val="32"/>
        </w:rPr>
        <w:t>二是组织其他形式的宣传</w:t>
      </w:r>
      <w:r>
        <w:rPr>
          <w:rFonts w:hint="eastAsia" w:ascii="仿宋_GB2312" w:hAnsi="黑体" w:eastAsia="仿宋_GB2312" w:cs="黑体"/>
          <w:sz w:val="32"/>
          <w:szCs w:val="32"/>
          <w:lang w:eastAsia="zh-CN"/>
        </w:rPr>
        <w:t>。医疗卫生单位工作人员、办事人员</w:t>
      </w:r>
      <w:r>
        <w:rPr>
          <w:rFonts w:hint="eastAsia" w:ascii="仿宋_GB2312" w:hAnsi="黑体" w:eastAsia="仿宋_GB2312" w:cs="黑体"/>
          <w:sz w:val="32"/>
          <w:szCs w:val="32"/>
        </w:rPr>
        <w:t>自觉遵守消防管理规定，规范停放车辆，杜绝占用、堵塞消防通道，保持消防通道畅通。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三、集中攻坚要求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黑体" w:eastAsia="楷体_GB2312" w:cs="黑体"/>
          <w:sz w:val="32"/>
          <w:szCs w:val="32"/>
        </w:rPr>
        <w:t>（一）加强组织领导。</w:t>
      </w:r>
      <w:r>
        <w:rPr>
          <w:rFonts w:hint="eastAsia" w:ascii="仿宋_GB2312" w:hAnsi="黑体" w:eastAsia="仿宋_GB2312" w:cs="黑体"/>
          <w:sz w:val="32"/>
          <w:szCs w:val="32"/>
        </w:rPr>
        <w:t>各单位要将</w:t>
      </w:r>
      <w:r>
        <w:rPr>
          <w:rFonts w:hint="eastAsia" w:ascii="仿宋_GB2312" w:hAnsi="方正小标宋简体" w:eastAsia="仿宋_GB2312" w:cs="方正小标宋简体"/>
          <w:sz w:val="32"/>
          <w:szCs w:val="32"/>
        </w:rPr>
        <w:t>打通“生命通道”</w:t>
      </w:r>
      <w:r>
        <w:rPr>
          <w:rFonts w:hint="eastAsia" w:ascii="仿宋_GB2312" w:eastAsia="仿宋_GB2312"/>
          <w:sz w:val="32"/>
          <w:szCs w:val="32"/>
        </w:rPr>
        <w:t>集中攻坚行动</w:t>
      </w:r>
      <w:r>
        <w:rPr>
          <w:rFonts w:hint="eastAsia" w:ascii="仿宋_GB2312" w:hAnsi="黑体" w:eastAsia="仿宋_GB2312" w:cs="黑体"/>
          <w:sz w:val="32"/>
          <w:szCs w:val="32"/>
        </w:rPr>
        <w:t>作为落实</w:t>
      </w:r>
      <w:r>
        <w:rPr>
          <w:rFonts w:hint="eastAsia" w:ascii="仿宋_GB2312" w:hAnsi="黑体" w:eastAsia="仿宋_GB2312" w:cs="黑体"/>
          <w:sz w:val="32"/>
          <w:szCs w:val="32"/>
          <w:lang w:eastAsia="zh-CN"/>
        </w:rPr>
        <w:t>医疗卫生单位平安医院建设的</w:t>
      </w:r>
      <w:r>
        <w:rPr>
          <w:rFonts w:hint="eastAsia" w:ascii="仿宋_GB2312" w:hAnsi="黑体" w:eastAsia="仿宋_GB2312" w:cs="黑体"/>
          <w:sz w:val="32"/>
          <w:szCs w:val="32"/>
        </w:rPr>
        <w:t>主体责任，深</w:t>
      </w:r>
      <w:r>
        <w:rPr>
          <w:rFonts w:hint="eastAsia" w:ascii="仿宋_GB2312" w:hAnsi="仿宋_GB2312" w:eastAsia="仿宋_GB2312" w:cs="仿宋_GB2312"/>
          <w:sz w:val="32"/>
          <w:szCs w:val="32"/>
        </w:rPr>
        <w:t>入开展“</w:t>
      </w:r>
      <w:r>
        <w:rPr>
          <w:rFonts w:hint="eastAsia" w:ascii="仿宋_GB2312" w:hAnsi="仿宋_GB2312" w:eastAsia="仿宋_GB2312" w:cs="仿宋_GB2312"/>
          <w:sz w:val="32"/>
          <w:szCs w:val="32"/>
          <w:lang w:eastAsia="zh-CN"/>
        </w:rPr>
        <w:t>全市医疗卫生领域安全生产专项整治行动</w:t>
      </w:r>
      <w:r>
        <w:rPr>
          <w:rFonts w:hint="eastAsia" w:ascii="仿宋_GB2312" w:hAnsi="仿宋_GB2312" w:eastAsia="仿宋_GB2312" w:cs="仿宋_GB2312"/>
          <w:sz w:val="32"/>
          <w:szCs w:val="32"/>
        </w:rPr>
        <w:t>”，扎实</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sz w:val="32"/>
          <w:szCs w:val="32"/>
        </w:rPr>
        <w:t>安全</w:t>
      </w:r>
      <w:r>
        <w:rPr>
          <w:rFonts w:hint="eastAsia" w:ascii="仿宋_GB2312" w:hAnsi="仿宋_GB2312" w:eastAsia="仿宋_GB2312" w:cs="仿宋_GB2312"/>
          <w:sz w:val="32"/>
          <w:szCs w:val="32"/>
          <w:lang w:eastAsia="zh-CN"/>
        </w:rPr>
        <w:t>生产</w:t>
      </w:r>
      <w:r>
        <w:rPr>
          <w:rFonts w:hint="eastAsia" w:ascii="仿宋_GB2312" w:hAnsi="仿宋_GB2312" w:eastAsia="仿宋_GB2312" w:cs="仿宋_GB2312"/>
          <w:sz w:val="32"/>
          <w:szCs w:val="32"/>
        </w:rPr>
        <w:t>专项整治的具体工作，抓好落实，确保实效。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（二）加快工作推进。</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sz w:val="32"/>
          <w:szCs w:val="32"/>
        </w:rPr>
        <w:t>单位要立即行动，邀请消防专业人员实地指导，根据各</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eastAsia="zh-CN"/>
        </w:rPr>
        <w:t>情况</w:t>
      </w:r>
      <w:r>
        <w:rPr>
          <w:rFonts w:hint="eastAsia" w:ascii="仿宋_GB2312" w:hAnsi="仿宋_GB2312" w:eastAsia="仿宋_GB2312" w:cs="仿宋_GB2312"/>
          <w:sz w:val="32"/>
          <w:szCs w:val="32"/>
        </w:rPr>
        <w:t>，研究确定工作方案，抓紧组织实施。3月份，全市</w:t>
      </w:r>
      <w:r>
        <w:rPr>
          <w:rFonts w:hint="eastAsia" w:ascii="仿宋_GB2312" w:hAnsi="仿宋_GB2312" w:eastAsia="仿宋_GB2312" w:cs="仿宋_GB2312"/>
          <w:sz w:val="32"/>
          <w:szCs w:val="32"/>
          <w:lang w:eastAsia="zh-CN"/>
        </w:rPr>
        <w:t>各医疗卫生</w:t>
      </w:r>
      <w:r>
        <w:rPr>
          <w:rFonts w:hint="eastAsia" w:ascii="仿宋_GB2312" w:hAnsi="仿宋_GB2312" w:eastAsia="仿宋_GB2312" w:cs="仿宋_GB2312"/>
          <w:sz w:val="32"/>
          <w:szCs w:val="32"/>
        </w:rPr>
        <w:t>单位，集中攻坚行动完成率达60%，4月份全面完成。</w:t>
      </w:r>
      <w:r>
        <w:rPr>
          <w:rFonts w:hint="eastAsia" w:ascii="仿宋_GB2312" w:hAnsi="仿宋_GB2312" w:eastAsia="仿宋_GB2312" w:cs="仿宋_GB2312"/>
          <w:sz w:val="32"/>
          <w:szCs w:val="32"/>
          <w:lang w:eastAsia="zh-CN"/>
        </w:rPr>
        <w:t>市卫健委</w:t>
      </w:r>
      <w:r>
        <w:rPr>
          <w:rFonts w:hint="eastAsia" w:ascii="仿宋_GB2312" w:hAnsi="仿宋_GB2312" w:eastAsia="仿宋_GB2312" w:cs="仿宋_GB2312"/>
          <w:sz w:val="32"/>
          <w:szCs w:val="32"/>
        </w:rPr>
        <w:t>及相关部门</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组织现场验收。各单位每月20日前报送《全市</w:t>
      </w:r>
      <w:r>
        <w:rPr>
          <w:rFonts w:hint="eastAsia" w:ascii="仿宋_GB2312" w:hAnsi="仿宋_GB2312" w:eastAsia="仿宋_GB2312" w:cs="仿宋_GB2312"/>
          <w:sz w:val="32"/>
          <w:szCs w:val="32"/>
          <w:lang w:eastAsia="zh-CN"/>
        </w:rPr>
        <w:t>医疗卫生</w:t>
      </w:r>
      <w:r>
        <w:rPr>
          <w:rFonts w:hint="eastAsia" w:ascii="仿宋_GB2312" w:hAnsi="仿宋_GB2312" w:eastAsia="仿宋_GB2312" w:cs="仿宋_GB2312"/>
          <w:sz w:val="32"/>
          <w:szCs w:val="32"/>
        </w:rPr>
        <w:t>系统打通“生命通道”集中攻坚行动统计表》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三</w:t>
      </w:r>
      <w:r>
        <w:rPr>
          <w:rFonts w:hint="eastAsia" w:ascii="楷体" w:hAnsi="楷体" w:eastAsia="楷体" w:cs="楷体"/>
          <w:sz w:val="32"/>
          <w:szCs w:val="32"/>
          <w:lang w:eastAsia="zh-CN"/>
        </w:rPr>
        <w:t>）</w:t>
      </w:r>
      <w:r>
        <w:rPr>
          <w:rFonts w:hint="eastAsia" w:ascii="楷体" w:hAnsi="楷体" w:eastAsia="楷体" w:cs="楷体"/>
          <w:sz w:val="32"/>
          <w:szCs w:val="32"/>
        </w:rPr>
        <w:t>落实工作责任。</w:t>
      </w:r>
      <w:r>
        <w:rPr>
          <w:rFonts w:hint="eastAsia" w:ascii="仿宋_GB2312" w:hAnsi="仿宋_GB2312" w:eastAsia="仿宋_GB2312" w:cs="仿宋_GB2312"/>
          <w:sz w:val="32"/>
          <w:szCs w:val="32"/>
        </w:rPr>
        <w:t>打通“生命通道”集中攻坚行动是省、市统一部署的消防重点工作，各</w:t>
      </w:r>
      <w:r>
        <w:rPr>
          <w:rFonts w:hint="eastAsia" w:ascii="仿宋_GB2312" w:hAnsi="仿宋_GB2312" w:eastAsia="仿宋_GB2312" w:cs="仿宋_GB2312"/>
          <w:sz w:val="32"/>
          <w:szCs w:val="32"/>
          <w:lang w:eastAsia="zh-CN"/>
        </w:rPr>
        <w:t>医疗卫生</w:t>
      </w:r>
      <w:r>
        <w:rPr>
          <w:rFonts w:hint="eastAsia" w:ascii="仿宋_GB2312" w:hAnsi="仿宋_GB2312" w:eastAsia="仿宋_GB2312" w:cs="仿宋_GB2312"/>
          <w:sz w:val="32"/>
          <w:szCs w:val="32"/>
        </w:rPr>
        <w:t>单位主要负责人是第一责任人，要不折不扣、及早落实。未按期完成的，市纪委、市</w:t>
      </w:r>
      <w:r>
        <w:rPr>
          <w:rFonts w:hint="eastAsia" w:ascii="仿宋_GB2312" w:hAnsi="仿宋_GB2312" w:eastAsia="仿宋_GB2312" w:cs="仿宋_GB2312"/>
          <w:sz w:val="32"/>
          <w:szCs w:val="32"/>
          <w:lang w:eastAsia="zh-CN"/>
        </w:rPr>
        <w:t>卫健委</w:t>
      </w:r>
      <w:r>
        <w:rPr>
          <w:rFonts w:hint="eastAsia" w:ascii="仿宋_GB2312" w:hAnsi="仿宋_GB2312" w:eastAsia="仿宋_GB2312" w:cs="仿宋_GB2312"/>
          <w:sz w:val="32"/>
          <w:szCs w:val="32"/>
        </w:rPr>
        <w:t>将严肃</w:t>
      </w:r>
      <w:r>
        <w:rPr>
          <w:rFonts w:hint="eastAsia" w:ascii="仿宋_GB2312" w:hAnsi="仿宋_GB2312" w:eastAsia="仿宋_GB2312" w:cs="仿宋_GB2312"/>
          <w:sz w:val="32"/>
          <w:szCs w:val="32"/>
          <w:lang w:eastAsia="zh-CN"/>
        </w:rPr>
        <w:t>问责</w:t>
      </w:r>
      <w:r>
        <w:rPr>
          <w:rFonts w:hint="eastAsia" w:ascii="仿宋_GB2312" w:hAnsi="仿宋_GB2312" w:eastAsia="仿宋_GB2312" w:cs="仿宋_GB2312"/>
          <w:sz w:val="32"/>
          <w:szCs w:val="32"/>
        </w:rPr>
        <w:t>，因责任和措施落实不到位影响灭火救援甚至造成人员伤亡的，要依法从严追究相关责任。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1.消防车通道标识设置标准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2.全市</w:t>
      </w:r>
      <w:r>
        <w:rPr>
          <w:rFonts w:hint="eastAsia" w:ascii="仿宋_GB2312" w:hAnsi="仿宋_GB2312" w:eastAsia="仿宋_GB2312" w:cs="仿宋_GB2312"/>
          <w:sz w:val="32"/>
          <w:szCs w:val="32"/>
          <w:lang w:eastAsia="zh-CN"/>
        </w:rPr>
        <w:t>医疗卫生</w:t>
      </w:r>
      <w:r>
        <w:rPr>
          <w:rFonts w:hint="eastAsia" w:ascii="仿宋_GB2312" w:hAnsi="仿宋_GB2312" w:eastAsia="仿宋_GB2312" w:cs="仿宋_GB2312"/>
          <w:sz w:val="32"/>
          <w:szCs w:val="32"/>
        </w:rPr>
        <w:t>系统打通“生命通道”集中攻坚行动统计表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海安市卫生健康委员会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2020年2月27日</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tbl>
      <w:tblPr>
        <w:tblStyle w:val="13"/>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72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720" w:type="dxa"/>
            <w:tcBorders>
              <w:tl2br w:val="nil"/>
              <w:tr2bl w:val="nil"/>
            </w:tcBorders>
          </w:tcPr>
          <w:p>
            <w:pPr>
              <w:snapToGrid w:val="0"/>
              <w:spacing w:line="560" w:lineRule="exact"/>
              <w:ind w:firstLine="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抄</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送：南通市卫健委，海安市消委办。</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720" w:type="dxa"/>
            <w:tcBorders>
              <w:tl2br w:val="nil"/>
              <w:tr2bl w:val="nil"/>
            </w:tcBorders>
          </w:tcPr>
          <w:p>
            <w:pPr>
              <w:snapToGrid w:val="0"/>
              <w:spacing w:line="560" w:lineRule="exact"/>
              <w:ind w:firstLine="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海安市卫生健康委员会办公室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2020年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日印发</w:t>
            </w:r>
          </w:p>
        </w:tc>
      </w:tr>
    </w:tbl>
    <w:p>
      <w:pPr>
        <w:rPr>
          <w:rFonts w:hint="eastAsia" w:ascii="仿宋_GB2312" w:hAnsi="黑体" w:eastAsia="仿宋_GB2312"/>
          <w:sz w:val="28"/>
          <w:szCs w:val="28"/>
        </w:rPr>
      </w:pPr>
      <w:r>
        <w:rPr>
          <w:rFonts w:hint="eastAsia" w:ascii="仿宋_GB2312" w:hAnsi="黑体" w:eastAsia="仿宋_GB2312"/>
          <w:sz w:val="28"/>
          <w:szCs w:val="28"/>
        </w:rPr>
        <w:br w:type="page"/>
      </w:r>
    </w:p>
    <w:p>
      <w:pPr>
        <w:spacing w:line="600" w:lineRule="exact"/>
        <w:jc w:val="left"/>
        <w:rPr>
          <w:rFonts w:hint="eastAsia" w:ascii="黑体" w:hAnsi="黑体" w:eastAsia="黑体" w:cs="黑体"/>
          <w:sz w:val="32"/>
          <w:szCs w:val="32"/>
        </w:rPr>
      </w:pPr>
      <w:r>
        <w:rPr>
          <w:rFonts w:hint="eastAsia" w:ascii="黑体" w:hAnsi="黑体" w:eastAsia="黑体" w:cs="黑体"/>
          <w:sz w:val="32"/>
          <w:szCs w:val="32"/>
        </w:rPr>
        <w:t>附件1</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消防车通道标识设置标准</w:t>
      </w:r>
    </w:p>
    <w:p>
      <w:pPr>
        <w:spacing w:line="600" w:lineRule="exact"/>
        <w:ind w:firstLine="420" w:firstLineChars="200"/>
      </w:pPr>
    </w:p>
    <w:p>
      <w:pPr>
        <w:spacing w:line="520" w:lineRule="exact"/>
        <w:ind w:firstLine="600" w:firstLineChars="200"/>
        <w:rPr>
          <w:rFonts w:ascii="仿宋_GB2312" w:eastAsia="仿宋_GB2312"/>
          <w:sz w:val="30"/>
          <w:szCs w:val="30"/>
        </w:rPr>
      </w:pPr>
      <w:r>
        <w:rPr>
          <w:rFonts w:hint="eastAsia" w:ascii="仿宋_GB2312" w:eastAsia="仿宋_GB2312"/>
          <w:sz w:val="30"/>
          <w:szCs w:val="30"/>
        </w:rPr>
        <w:t>根据《中华人民共和国消防法》《中华人民共和国道路交通安全法》和国家标准《道路交通标志和标线》（</w:t>
      </w:r>
      <w:r>
        <w:rPr>
          <w:rFonts w:ascii="仿宋_GB2312" w:eastAsia="仿宋_GB2312"/>
          <w:sz w:val="30"/>
          <w:szCs w:val="30"/>
        </w:rPr>
        <w:t>GB 5768</w:t>
      </w:r>
      <w:r>
        <w:rPr>
          <w:rFonts w:hint="eastAsia" w:ascii="仿宋_GB2312" w:eastAsia="仿宋_GB2312"/>
          <w:sz w:val="30"/>
          <w:szCs w:val="30"/>
        </w:rPr>
        <w:t>）的有关规定，单位或者住宅区内的消防车通道沿途标志和标线标识设置应符合下列规定：</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（一）在消防车通道路侧缘石立面和顶面应当施划黄色禁止停车标线。</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（二）无缘石的道路应当在路面上施划禁止停车标线，标线为黄色单实线，距路面边缘</w:t>
      </w:r>
      <w:r>
        <w:rPr>
          <w:rFonts w:ascii="仿宋_GB2312" w:eastAsia="仿宋_GB2312"/>
          <w:sz w:val="30"/>
          <w:szCs w:val="30"/>
        </w:rPr>
        <w:t>30</w:t>
      </w:r>
      <w:r>
        <w:rPr>
          <w:rFonts w:hint="eastAsia" w:ascii="仿宋_GB2312" w:eastAsia="仿宋_GB2312"/>
          <w:sz w:val="30"/>
          <w:szCs w:val="30"/>
        </w:rPr>
        <w:t>厘米，线宽</w:t>
      </w:r>
      <w:r>
        <w:rPr>
          <w:rFonts w:ascii="仿宋_GB2312" w:eastAsia="仿宋_GB2312"/>
          <w:sz w:val="30"/>
          <w:szCs w:val="30"/>
        </w:rPr>
        <w:t>15</w:t>
      </w:r>
      <w:r>
        <w:rPr>
          <w:rFonts w:hint="eastAsia" w:ascii="仿宋_GB2312" w:eastAsia="仿宋_GB2312"/>
          <w:sz w:val="30"/>
          <w:szCs w:val="30"/>
        </w:rPr>
        <w:t>厘米。</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（三）消防车通道沿途每隔</w:t>
      </w:r>
      <w:r>
        <w:rPr>
          <w:rFonts w:ascii="仿宋_GB2312" w:eastAsia="仿宋_GB2312"/>
          <w:sz w:val="30"/>
          <w:szCs w:val="30"/>
        </w:rPr>
        <w:t>20</w:t>
      </w:r>
      <w:r>
        <w:rPr>
          <w:rFonts w:hint="eastAsia" w:ascii="仿宋_GB2312" w:eastAsia="仿宋_GB2312"/>
          <w:sz w:val="30"/>
          <w:szCs w:val="30"/>
        </w:rPr>
        <w:t>米距离在路面中央施划黄色方框线（不得与消防车登高操作面划线重叠），在方框内沿行车方向标注内容为“消防车道</w:t>
      </w:r>
      <w:r>
        <w:rPr>
          <w:rFonts w:ascii="仿宋_GB2312" w:eastAsia="仿宋_GB2312"/>
          <w:sz w:val="30"/>
          <w:szCs w:val="30"/>
        </w:rPr>
        <w:t xml:space="preserve"> </w:t>
      </w:r>
      <w:r>
        <w:rPr>
          <w:rFonts w:hint="eastAsia" w:ascii="仿宋_GB2312" w:eastAsia="仿宋_GB2312"/>
          <w:sz w:val="30"/>
          <w:szCs w:val="30"/>
        </w:rPr>
        <w:t>禁止占用”的警示字样。黄色方框线长宽不小于</w:t>
      </w:r>
      <w:r>
        <w:rPr>
          <w:rFonts w:ascii="仿宋_GB2312" w:eastAsia="仿宋_GB2312"/>
          <w:sz w:val="30"/>
          <w:szCs w:val="30"/>
        </w:rPr>
        <w:t>2m</w:t>
      </w:r>
      <w:r>
        <w:rPr>
          <w:rFonts w:hint="eastAsia" w:ascii="仿宋_GB2312" w:eastAsia="仿宋_GB2312"/>
          <w:sz w:val="30"/>
          <w:szCs w:val="30"/>
        </w:rPr>
        <w:t>×</w:t>
      </w:r>
      <w:r>
        <w:rPr>
          <w:rFonts w:ascii="仿宋_GB2312" w:eastAsia="仿宋_GB2312"/>
          <w:sz w:val="30"/>
          <w:szCs w:val="30"/>
        </w:rPr>
        <w:t>1.5m</w:t>
      </w:r>
      <w:r>
        <w:rPr>
          <w:rFonts w:hint="eastAsia" w:ascii="仿宋_GB2312" w:eastAsia="仿宋_GB2312"/>
          <w:sz w:val="30"/>
          <w:szCs w:val="30"/>
        </w:rPr>
        <w:t>（若受条件限制，无法满足醒目度要求，应按</w:t>
      </w:r>
      <w:r>
        <w:rPr>
          <w:rFonts w:ascii="仿宋_GB2312" w:eastAsia="仿宋_GB2312"/>
          <w:sz w:val="30"/>
          <w:szCs w:val="30"/>
        </w:rPr>
        <w:t>4:3</w:t>
      </w:r>
      <w:r>
        <w:rPr>
          <w:rFonts w:hint="eastAsia" w:ascii="仿宋_GB2312" w:eastAsia="仿宋_GB2312"/>
          <w:sz w:val="30"/>
          <w:szCs w:val="30"/>
        </w:rPr>
        <w:t>比例加大标志的尺寸）。</w:t>
      </w:r>
    </w:p>
    <w:p>
      <w:pPr>
        <w:pStyle w:val="2"/>
        <w:spacing w:line="560" w:lineRule="exact"/>
        <w:jc w:val="center"/>
        <w:rPr>
          <w:rFonts w:ascii="黑体" w:hAnsi="黑体" w:eastAsia="黑体"/>
          <w:sz w:val="28"/>
          <w:szCs w:val="28"/>
        </w:rPr>
      </w:pPr>
      <w:r>
        <w:rPr>
          <w:rFonts w:hint="eastAsia" w:ascii="黑体" w:hAnsi="黑体" w:eastAsia="黑体"/>
          <w:sz w:val="28"/>
          <w:szCs w:val="28"/>
        </w:rPr>
        <w:t>示例</w:t>
      </w:r>
      <w:r>
        <w:drawing>
          <wp:anchor distT="0" distB="0" distL="114300" distR="114300" simplePos="0" relativeHeight="251657216" behindDoc="0" locked="1" layoutInCell="1" allowOverlap="1">
            <wp:simplePos x="0" y="0"/>
            <wp:positionH relativeFrom="column">
              <wp:posOffset>1344295</wp:posOffset>
            </wp:positionH>
            <wp:positionV relativeFrom="paragraph">
              <wp:posOffset>582930</wp:posOffset>
            </wp:positionV>
            <wp:extent cx="2879725" cy="1465580"/>
            <wp:effectExtent l="1905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srcRect/>
                    <a:stretch>
                      <a:fillRect/>
                    </a:stretch>
                  </pic:blipFill>
                  <pic:spPr>
                    <a:xfrm>
                      <a:off x="0" y="0"/>
                      <a:ext cx="2879725" cy="1465580"/>
                    </a:xfrm>
                    <a:prstGeom prst="rect">
                      <a:avLst/>
                    </a:prstGeom>
                    <a:noFill/>
                  </pic:spPr>
                </pic:pic>
              </a:graphicData>
            </a:graphic>
          </wp:anchor>
        </w:drawing>
      </w:r>
      <w:r>
        <w:rPr>
          <w:rFonts w:ascii="黑体" w:hAnsi="黑体" w:eastAsia="黑体"/>
          <w:sz w:val="28"/>
          <w:szCs w:val="28"/>
        </w:rPr>
        <w:t>1:</w:t>
      </w:r>
      <w:r>
        <w:rPr>
          <w:rFonts w:hint="eastAsia" w:ascii="黑体" w:hAnsi="黑体" w:eastAsia="黑体"/>
          <w:sz w:val="28"/>
          <w:szCs w:val="28"/>
        </w:rPr>
        <w:t>消防车通道路侧禁停标线及路面警示标志</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（四）在单位或者住宅区的消防车通道出入口路面，按照消防车通道净宽施划禁停标线，标线为黄色网状实线，外边框线宽</w:t>
      </w:r>
      <w:r>
        <w:rPr>
          <w:rFonts w:ascii="仿宋_GB2312" w:eastAsia="仿宋_GB2312"/>
          <w:sz w:val="30"/>
          <w:szCs w:val="30"/>
        </w:rPr>
        <w:t>20</w:t>
      </w:r>
      <w:r>
        <w:rPr>
          <w:rFonts w:hint="eastAsia" w:ascii="仿宋_GB2312" w:eastAsia="仿宋_GB2312"/>
          <w:sz w:val="30"/>
          <w:szCs w:val="30"/>
        </w:rPr>
        <w:t>厘米，内部网格线宽</w:t>
      </w:r>
      <w:r>
        <w:rPr>
          <w:rFonts w:ascii="仿宋_GB2312" w:eastAsia="仿宋_GB2312"/>
          <w:sz w:val="30"/>
          <w:szCs w:val="30"/>
        </w:rPr>
        <w:t>10</w:t>
      </w:r>
      <w:r>
        <w:rPr>
          <w:rFonts w:hint="eastAsia" w:ascii="仿宋_GB2312" w:eastAsia="仿宋_GB2312"/>
          <w:sz w:val="30"/>
          <w:szCs w:val="30"/>
        </w:rPr>
        <w:t>厘米，内部网格线与外边框夹角</w:t>
      </w:r>
      <w:r>
        <w:rPr>
          <w:rFonts w:ascii="仿宋_GB2312" w:eastAsia="仿宋_GB2312"/>
          <w:sz w:val="30"/>
          <w:szCs w:val="30"/>
        </w:rPr>
        <w:t>45</w:t>
      </w:r>
      <w:r>
        <w:rPr>
          <w:rFonts w:hint="eastAsia" w:ascii="仿宋_GB2312" w:eastAsia="仿宋_GB2312"/>
          <w:sz w:val="30"/>
          <w:szCs w:val="30"/>
        </w:rPr>
        <w:t>度，标线中央位置沿行车方向标注内容为“消防车道</w:t>
      </w:r>
      <w:r>
        <w:rPr>
          <w:rFonts w:ascii="仿宋_GB2312" w:eastAsia="仿宋_GB2312"/>
          <w:sz w:val="30"/>
          <w:szCs w:val="30"/>
        </w:rPr>
        <w:t xml:space="preserve"> </w:t>
      </w:r>
      <w:r>
        <w:rPr>
          <w:rFonts w:hint="eastAsia" w:ascii="仿宋_GB2312" w:eastAsia="仿宋_GB2312"/>
          <w:sz w:val="30"/>
          <w:szCs w:val="30"/>
        </w:rPr>
        <w:t>禁止占用”的警示字样。禁停标线长宽不小于</w:t>
      </w:r>
      <w:r>
        <w:rPr>
          <w:rFonts w:ascii="仿宋_GB2312" w:eastAsia="仿宋_GB2312"/>
          <w:sz w:val="30"/>
          <w:szCs w:val="30"/>
        </w:rPr>
        <w:t>2m</w:t>
      </w:r>
      <w:r>
        <w:rPr>
          <w:rFonts w:hint="eastAsia" w:ascii="仿宋_GB2312" w:eastAsia="仿宋_GB2312"/>
          <w:sz w:val="30"/>
          <w:szCs w:val="30"/>
        </w:rPr>
        <w:t>×</w:t>
      </w:r>
      <w:r>
        <w:rPr>
          <w:rFonts w:ascii="仿宋_GB2312" w:eastAsia="仿宋_GB2312"/>
          <w:sz w:val="30"/>
          <w:szCs w:val="30"/>
        </w:rPr>
        <w:t>1.5m</w:t>
      </w:r>
      <w:r>
        <w:rPr>
          <w:rFonts w:hint="eastAsia" w:ascii="仿宋_GB2312" w:eastAsia="仿宋_GB2312"/>
          <w:sz w:val="30"/>
          <w:szCs w:val="30"/>
        </w:rPr>
        <w:t>（若受条件限制，无法满足醒目度要求，应按</w:t>
      </w:r>
      <w:r>
        <w:rPr>
          <w:rFonts w:ascii="仿宋_GB2312" w:eastAsia="仿宋_GB2312"/>
          <w:sz w:val="30"/>
          <w:szCs w:val="30"/>
        </w:rPr>
        <w:t>4:3</w:t>
      </w:r>
      <w:r>
        <w:rPr>
          <w:rFonts w:hint="eastAsia" w:ascii="仿宋_GB2312" w:eastAsia="仿宋_GB2312"/>
          <w:sz w:val="30"/>
          <w:szCs w:val="30"/>
        </w:rPr>
        <w:t>比例加大标志的尺寸）。</w:t>
      </w:r>
    </w:p>
    <w:p>
      <w:pPr>
        <w:pStyle w:val="2"/>
        <w:spacing w:line="560" w:lineRule="exact"/>
        <w:jc w:val="center"/>
        <w:rPr>
          <w:rFonts w:ascii="黑体" w:hAnsi="黑体" w:eastAsia="黑体"/>
          <w:sz w:val="28"/>
          <w:szCs w:val="28"/>
        </w:rPr>
      </w:pPr>
      <w:r>
        <w:rPr>
          <w:rFonts w:hint="eastAsia" w:ascii="黑体" w:hAnsi="黑体" w:eastAsia="黑体"/>
          <w:sz w:val="28"/>
          <w:szCs w:val="28"/>
        </w:rPr>
        <w:t>示例</w:t>
      </w:r>
      <w:r>
        <w:rPr>
          <w:rFonts w:ascii="黑体" w:hAnsi="黑体" w:eastAsia="黑体"/>
          <w:sz w:val="28"/>
          <w:szCs w:val="28"/>
        </w:rPr>
        <w:t>2</w:t>
      </w:r>
      <w:r>
        <w:rPr>
          <w:rFonts w:hint="eastAsia" w:ascii="黑体" w:hAnsi="黑体" w:eastAsia="黑体"/>
          <w:sz w:val="28"/>
          <w:szCs w:val="28"/>
        </w:rPr>
        <w:t>：消防车通道出入口禁停标线及路面警示标志</w:t>
      </w:r>
    </w:p>
    <w:p>
      <w:pPr>
        <w:pStyle w:val="2"/>
        <w:spacing w:line="560" w:lineRule="exact"/>
        <w:ind w:firstLine="420" w:firstLineChars="200"/>
        <w:rPr>
          <w:rFonts w:ascii="仿宋_GB2312" w:eastAsia="仿宋_GB2312"/>
          <w:sz w:val="30"/>
          <w:szCs w:val="30"/>
        </w:rPr>
      </w:pPr>
      <w:r>
        <w:drawing>
          <wp:anchor distT="0" distB="0" distL="114300" distR="114300" simplePos="0" relativeHeight="251658240" behindDoc="0" locked="1" layoutInCell="1" allowOverlap="1">
            <wp:simplePos x="0" y="0"/>
            <wp:positionH relativeFrom="column">
              <wp:posOffset>1533525</wp:posOffset>
            </wp:positionH>
            <wp:positionV relativeFrom="paragraph">
              <wp:posOffset>162560</wp:posOffset>
            </wp:positionV>
            <wp:extent cx="2541905" cy="2900680"/>
            <wp:effectExtent l="19050" t="0" r="0" b="0"/>
            <wp:wrapTopAndBottom/>
            <wp:docPr id="3" name="图片 0" descr="批注 2019-12-12 135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批注 2019-12-12 135436.jpg"/>
                    <pic:cNvPicPr>
                      <a:picLocks noChangeAspect="1" noChangeArrowheads="1"/>
                    </pic:cNvPicPr>
                  </pic:nvPicPr>
                  <pic:blipFill>
                    <a:blip r:embed="rId6"/>
                    <a:srcRect/>
                    <a:stretch>
                      <a:fillRect/>
                    </a:stretch>
                  </pic:blipFill>
                  <pic:spPr>
                    <a:xfrm>
                      <a:off x="0" y="0"/>
                      <a:ext cx="2541905" cy="2900680"/>
                    </a:xfrm>
                    <a:prstGeom prst="rect">
                      <a:avLst/>
                    </a:prstGeom>
                    <a:noFill/>
                  </pic:spPr>
                </pic:pic>
              </a:graphicData>
            </a:graphic>
          </wp:anchor>
        </w:drawing>
      </w:r>
      <w:r>
        <w:rPr>
          <w:rFonts w:hint="eastAsia" w:ascii="仿宋_GB2312" w:eastAsia="仿宋_GB2312"/>
          <w:sz w:val="30"/>
          <w:szCs w:val="30"/>
        </w:rPr>
        <w:t>（五）在消防车通道两侧设置醒目的警示标牌，提示严禁占用消防车道，违者将承担相应法律责任等内容。警示标牌长宽不小于</w:t>
      </w:r>
      <w:r>
        <w:rPr>
          <w:rFonts w:ascii="仿宋_GB2312" w:eastAsia="仿宋_GB2312"/>
          <w:sz w:val="30"/>
          <w:szCs w:val="30"/>
        </w:rPr>
        <w:t>1m</w:t>
      </w:r>
      <w:r>
        <w:rPr>
          <w:rFonts w:hint="eastAsia" w:ascii="仿宋_GB2312" w:eastAsia="仿宋_GB2312"/>
          <w:sz w:val="30"/>
          <w:szCs w:val="30"/>
        </w:rPr>
        <w:t>×</w:t>
      </w:r>
      <w:r>
        <w:rPr>
          <w:rFonts w:ascii="仿宋_GB2312" w:eastAsia="仿宋_GB2312"/>
          <w:sz w:val="30"/>
          <w:szCs w:val="30"/>
        </w:rPr>
        <w:t>0.6m</w:t>
      </w:r>
      <w:r>
        <w:rPr>
          <w:rFonts w:hint="eastAsia" w:ascii="仿宋_GB2312" w:eastAsia="仿宋_GB2312"/>
          <w:sz w:val="30"/>
          <w:szCs w:val="30"/>
        </w:rPr>
        <w:t>（若受条件限制，无法满足醒目度要求，应按</w:t>
      </w:r>
      <w:r>
        <w:rPr>
          <w:rFonts w:ascii="仿宋_GB2312" w:eastAsia="仿宋_GB2312"/>
          <w:sz w:val="30"/>
          <w:szCs w:val="30"/>
        </w:rPr>
        <w:t>5:3</w:t>
      </w:r>
      <w:r>
        <w:rPr>
          <w:rFonts w:hint="eastAsia" w:ascii="仿宋_GB2312" w:eastAsia="仿宋_GB2312"/>
          <w:sz w:val="30"/>
          <w:szCs w:val="30"/>
        </w:rPr>
        <w:t>比例加大标志的尺寸），底边离地高度不低于</w:t>
      </w:r>
      <w:r>
        <w:rPr>
          <w:rFonts w:ascii="仿宋_GB2312" w:eastAsia="仿宋_GB2312"/>
          <w:sz w:val="30"/>
          <w:szCs w:val="30"/>
        </w:rPr>
        <w:t>1.6m</w:t>
      </w:r>
      <w:r>
        <w:rPr>
          <w:rFonts w:hint="eastAsia" w:ascii="仿宋_GB2312" w:eastAsia="仿宋_GB2312"/>
          <w:sz w:val="30"/>
          <w:szCs w:val="30"/>
        </w:rPr>
        <w:t>。</w:t>
      </w:r>
    </w:p>
    <w:p>
      <w:pPr>
        <w:pStyle w:val="2"/>
        <w:spacing w:line="560" w:lineRule="exact"/>
        <w:jc w:val="center"/>
        <w:rPr>
          <w:rFonts w:ascii="黑体" w:hAnsi="黑体" w:eastAsia="黑体"/>
          <w:sz w:val="28"/>
          <w:szCs w:val="28"/>
        </w:rPr>
      </w:pPr>
      <w:r>
        <w:rPr>
          <w:rFonts w:hint="eastAsia" w:ascii="黑体" w:hAnsi="黑体" w:eastAsia="黑体"/>
          <w:sz w:val="28"/>
          <w:szCs w:val="28"/>
        </w:rPr>
        <w:t>示例</w:t>
      </w:r>
      <w:r>
        <w:rPr>
          <w:rFonts w:ascii="黑体" w:hAnsi="黑体" w:eastAsia="黑体"/>
          <w:sz w:val="28"/>
          <w:szCs w:val="28"/>
        </w:rPr>
        <w:t>3</w:t>
      </w:r>
      <w:r>
        <w:rPr>
          <w:rFonts w:hint="eastAsia" w:ascii="黑体" w:hAnsi="黑体" w:eastAsia="黑体"/>
          <w:sz w:val="28"/>
          <w:szCs w:val="28"/>
        </w:rPr>
        <w:t>：消防车通道禁止占用警示牌</w:t>
      </w:r>
    </w:p>
    <w:p>
      <w:pPr>
        <w:pStyle w:val="2"/>
        <w:spacing w:line="500" w:lineRule="exact"/>
      </w:pPr>
      <w:r>
        <w:drawing>
          <wp:anchor distT="0" distB="0" distL="114300" distR="114300" simplePos="0" relativeHeight="251658240" behindDoc="1" locked="0" layoutInCell="1" allowOverlap="0">
            <wp:simplePos x="0" y="0"/>
            <wp:positionH relativeFrom="column">
              <wp:posOffset>1708785</wp:posOffset>
            </wp:positionH>
            <wp:positionV relativeFrom="paragraph">
              <wp:posOffset>87630</wp:posOffset>
            </wp:positionV>
            <wp:extent cx="2203450" cy="1614805"/>
            <wp:effectExtent l="19050" t="0" r="6350" b="0"/>
            <wp:wrapTight wrapText="bothSides">
              <wp:wrapPolygon>
                <wp:start x="-187" y="0"/>
                <wp:lineTo x="-187" y="21405"/>
                <wp:lineTo x="21662" y="21405"/>
                <wp:lineTo x="21662" y="0"/>
                <wp:lineTo x="-187"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srcRect/>
                    <a:stretch>
                      <a:fillRect/>
                    </a:stretch>
                  </pic:blipFill>
                  <pic:spPr>
                    <a:xfrm>
                      <a:off x="0" y="0"/>
                      <a:ext cx="2203450" cy="1614805"/>
                    </a:xfrm>
                    <a:prstGeom prst="rect">
                      <a:avLst/>
                    </a:prstGeom>
                    <a:noFill/>
                  </pic:spPr>
                </pic:pic>
              </a:graphicData>
            </a:graphic>
          </wp:anchor>
        </w:drawing>
      </w:r>
    </w:p>
    <w:p>
      <w:pPr>
        <w:adjustRightInd w:val="0"/>
        <w:spacing w:line="480" w:lineRule="exact"/>
      </w:pPr>
    </w:p>
    <w:p>
      <w:pPr>
        <w:spacing w:line="590" w:lineRule="exact"/>
        <w:jc w:val="left"/>
      </w:pPr>
    </w:p>
    <w:p>
      <w:pPr>
        <w:spacing w:line="590" w:lineRule="exact"/>
        <w:jc w:val="left"/>
      </w:pPr>
    </w:p>
    <w:p>
      <w:pPr>
        <w:spacing w:line="500" w:lineRule="exact"/>
        <w:ind w:right="980" w:firstLine="560" w:firstLineChars="200"/>
        <w:jc w:val="right"/>
        <w:rPr>
          <w:rFonts w:ascii="仿宋_GB2312" w:eastAsia="仿宋_GB2312"/>
          <w:sz w:val="28"/>
          <w:szCs w:val="28"/>
        </w:rPr>
      </w:pPr>
    </w:p>
    <w:p>
      <w:pPr>
        <w:spacing w:line="500" w:lineRule="exact"/>
        <w:ind w:right="980" w:firstLine="560" w:firstLineChars="200"/>
        <w:jc w:val="right"/>
        <w:rPr>
          <w:rFonts w:ascii="仿宋_GB2312" w:eastAsia="仿宋_GB2312"/>
          <w:sz w:val="28"/>
          <w:szCs w:val="28"/>
        </w:rPr>
        <w:sectPr>
          <w:footerReference r:id="rId3" w:type="default"/>
          <w:pgSz w:w="11906" w:h="16838"/>
          <w:pgMar w:top="1701" w:right="1701" w:bottom="1701" w:left="1701" w:header="720" w:footer="1247" w:gutter="0"/>
          <w:cols w:space="0" w:num="1"/>
          <w:docGrid w:linePitch="579" w:charSpace="0"/>
        </w:sectPr>
      </w:pPr>
    </w:p>
    <w:p>
      <w:pPr>
        <w:spacing w:line="600" w:lineRule="exact"/>
        <w:jc w:val="left"/>
        <w:rPr>
          <w:rFonts w:hint="eastAsia"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eastAsia="zh-CN"/>
        </w:rPr>
        <w:t>海安市医疗卫生</w:t>
      </w:r>
      <w:r>
        <w:rPr>
          <w:rFonts w:hint="eastAsia" w:ascii="方正小标宋简体" w:eastAsia="方正小标宋简体"/>
          <w:sz w:val="44"/>
          <w:szCs w:val="44"/>
        </w:rPr>
        <w:t>系统打通“生命通道”集中攻坚行动统计表</w:t>
      </w:r>
    </w:p>
    <w:p>
      <w:pPr>
        <w:spacing w:beforeLines="50" w:afterLines="50" w:line="480" w:lineRule="exact"/>
        <w:jc w:val="left"/>
        <w:rPr>
          <w:rFonts w:ascii="仿宋_GB2312" w:eastAsia="仿宋_GB2312"/>
          <w:sz w:val="28"/>
          <w:szCs w:val="28"/>
        </w:rPr>
      </w:pPr>
      <w:r>
        <w:rPr>
          <w:rFonts w:hint="eastAsia" w:ascii="仿宋_GB2312" w:hAnsi="宋体" w:eastAsia="仿宋_GB2312"/>
          <w:sz w:val="28"/>
          <w:szCs w:val="28"/>
        </w:rPr>
        <w:t>单位（公章）</w:t>
      </w:r>
      <w:r>
        <w:rPr>
          <w:rFonts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主要负责人（签字）</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分管负责人（签字）</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年</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月</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u w:val="single"/>
          <w:lang w:val="en-US" w:eastAsia="zh-CN"/>
        </w:rPr>
        <w:t xml:space="preserve">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日</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1856"/>
        <w:gridCol w:w="4931"/>
        <w:gridCol w:w="2996"/>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Align w:val="center"/>
          </w:tcPr>
          <w:p>
            <w:pPr>
              <w:spacing w:line="40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序号</w:t>
            </w:r>
          </w:p>
        </w:tc>
        <w:tc>
          <w:tcPr>
            <w:tcW w:w="1856" w:type="dxa"/>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施划标识数</w:t>
            </w:r>
          </w:p>
        </w:tc>
        <w:tc>
          <w:tcPr>
            <w:tcW w:w="4931" w:type="dxa"/>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集中清理消防车通道障碍物（处）</w:t>
            </w:r>
          </w:p>
        </w:tc>
        <w:tc>
          <w:tcPr>
            <w:tcW w:w="2996" w:type="dxa"/>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集中检测维修室内消火栓系统（处）</w:t>
            </w:r>
          </w:p>
        </w:tc>
        <w:tc>
          <w:tcPr>
            <w:tcW w:w="2388" w:type="dxa"/>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开展宣传（次）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55" w:type="dxa"/>
            <w:vAlign w:val="center"/>
          </w:tcPr>
          <w:p>
            <w:pPr>
              <w:jc w:val="center"/>
              <w:rPr>
                <w:rFonts w:ascii="仿宋_GB2312" w:eastAsia="仿宋_GB2312"/>
                <w:sz w:val="28"/>
                <w:szCs w:val="28"/>
              </w:rPr>
            </w:pPr>
          </w:p>
        </w:tc>
        <w:tc>
          <w:tcPr>
            <w:tcW w:w="1856" w:type="dxa"/>
            <w:vAlign w:val="center"/>
          </w:tcPr>
          <w:p>
            <w:pPr>
              <w:rPr>
                <w:rFonts w:ascii="仿宋_GB2312" w:eastAsia="仿宋_GB2312"/>
                <w:sz w:val="28"/>
                <w:szCs w:val="28"/>
              </w:rPr>
            </w:pPr>
          </w:p>
        </w:tc>
        <w:tc>
          <w:tcPr>
            <w:tcW w:w="4931" w:type="dxa"/>
            <w:vAlign w:val="center"/>
          </w:tcPr>
          <w:p>
            <w:pPr>
              <w:rPr>
                <w:rFonts w:ascii="仿宋_GB2312" w:eastAsia="仿宋_GB2312"/>
                <w:sz w:val="28"/>
                <w:szCs w:val="28"/>
              </w:rPr>
            </w:pPr>
          </w:p>
        </w:tc>
        <w:tc>
          <w:tcPr>
            <w:tcW w:w="2996" w:type="dxa"/>
            <w:vAlign w:val="center"/>
          </w:tcPr>
          <w:p>
            <w:pPr>
              <w:rPr>
                <w:rFonts w:ascii="仿宋_GB2312" w:eastAsia="仿宋_GB2312"/>
                <w:sz w:val="28"/>
                <w:szCs w:val="28"/>
              </w:rPr>
            </w:pPr>
          </w:p>
        </w:tc>
        <w:tc>
          <w:tcPr>
            <w:tcW w:w="2388" w:type="dxa"/>
            <w:vAlign w:val="center"/>
          </w:tcPr>
          <w:p>
            <w:pPr>
              <w:rPr>
                <w:rFonts w:ascii="仿宋_GB2312" w:eastAsia="仿宋_GB2312"/>
                <w:sz w:val="28"/>
                <w:szCs w:val="28"/>
              </w:rPr>
            </w:pPr>
          </w:p>
        </w:tc>
      </w:tr>
    </w:tbl>
    <w:p>
      <w:pPr>
        <w:spacing w:line="360" w:lineRule="exact"/>
        <w:rPr>
          <w:rFonts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ascii="仿宋_GB2312" w:eastAsia="仿宋_GB2312"/>
          <w:sz w:val="28"/>
          <w:szCs w:val="28"/>
        </w:rPr>
      </w:pPr>
      <w:r>
        <w:rPr>
          <w:rFonts w:hint="eastAsia" w:ascii="黑体" w:hAnsi="黑体" w:eastAsia="黑体"/>
          <w:sz w:val="28"/>
          <w:szCs w:val="28"/>
        </w:rPr>
        <w:t>说明：</w:t>
      </w:r>
      <w:r>
        <w:rPr>
          <w:rFonts w:ascii="仿宋_GB2312" w:hAnsi="宋体" w:eastAsia="仿宋_GB2312"/>
          <w:sz w:val="28"/>
          <w:szCs w:val="28"/>
        </w:rPr>
        <w:t>1.</w:t>
      </w:r>
      <w:r>
        <w:rPr>
          <w:rFonts w:hint="eastAsia" w:ascii="仿宋_GB2312" w:hAnsi="宋体" w:eastAsia="仿宋_GB2312"/>
          <w:sz w:val="28"/>
          <w:szCs w:val="28"/>
          <w:lang w:eastAsia="zh-CN"/>
        </w:rPr>
        <w:t>此表电子和纸质签字盖章，</w:t>
      </w:r>
      <w:r>
        <w:rPr>
          <w:rFonts w:hint="eastAsia" w:ascii="仿宋_GB2312" w:hAnsi="宋体" w:eastAsia="仿宋_GB2312"/>
          <w:sz w:val="28"/>
          <w:szCs w:val="28"/>
        </w:rPr>
        <w:t>每月</w:t>
      </w:r>
      <w:r>
        <w:rPr>
          <w:rFonts w:ascii="仿宋_GB2312" w:hAnsi="宋体" w:eastAsia="仿宋_GB2312"/>
          <w:sz w:val="28"/>
          <w:szCs w:val="28"/>
        </w:rPr>
        <w:t>20</w:t>
      </w:r>
      <w:r>
        <w:rPr>
          <w:rFonts w:hint="eastAsia" w:ascii="仿宋_GB2312" w:hAnsi="宋体" w:eastAsia="仿宋_GB2312"/>
          <w:sz w:val="28"/>
          <w:szCs w:val="28"/>
        </w:rPr>
        <w:t>日前通过“安全工作群”报市</w:t>
      </w:r>
      <w:r>
        <w:rPr>
          <w:rFonts w:hint="eastAsia" w:ascii="仿宋_GB2312" w:hAnsi="宋体" w:eastAsia="仿宋_GB2312"/>
          <w:sz w:val="28"/>
          <w:szCs w:val="28"/>
          <w:lang w:eastAsia="zh-CN"/>
        </w:rPr>
        <w:t>卫健委</w:t>
      </w: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eastAsia="仿宋_GB2312"/>
          <w:sz w:val="28"/>
          <w:szCs w:val="28"/>
        </w:rPr>
        <w:t>各项统计数据均填报累计数据。</w:t>
      </w:r>
    </w:p>
    <w:sectPr>
      <w:pgSz w:w="16838" w:h="11906" w:orient="landscape"/>
      <w:pgMar w:top="1588" w:right="1588" w:bottom="1588" w:left="1588" w:header="720" w:footer="1247" w:gutter="0"/>
      <w:cols w:space="0" w:num="1"/>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Theme="minorEastAsia" w:hAnsiTheme="minorEastAsia" w:eastAsiaTheme="minorEastAsia" w:cstheme="minorEastAsia"/>
        <w:sz w:val="28"/>
        <w:szCs w:val="28"/>
        <w:lang w:val="en-US" w:eastAsia="zh-CN"/>
      </w:rPr>
    </w:pPr>
    <w:r>
      <w:rPr>
        <w:rStyle w:val="16"/>
        <w:rFonts w:hint="eastAsia" w:asciiTheme="minorEastAsia" w:hAnsiTheme="minorEastAsia" w:eastAsiaTheme="minorEastAsia" w:cstheme="minorEastAsia"/>
        <w:sz w:val="28"/>
        <w:szCs w:val="28"/>
        <w:lang w:eastAsia="zh-CN"/>
      </w:rPr>
      <w:t>—</w:t>
    </w:r>
    <w:r>
      <w:rPr>
        <w:rStyle w:val="16"/>
        <w:rFonts w:hint="eastAsia" w:asciiTheme="minorEastAsia" w:hAnsiTheme="minorEastAsia" w:eastAsiaTheme="minorEastAsia" w:cstheme="minorEastAsia"/>
        <w:sz w:val="28"/>
        <w:szCs w:val="28"/>
        <w:lang w:val="en-US" w:eastAsia="zh-CN"/>
      </w:rPr>
      <w:t xml:space="preserve"> </w:t>
    </w:r>
    <w:r>
      <w:rPr>
        <w:rStyle w:val="16"/>
        <w:rFonts w:hint="eastAsia" w:asciiTheme="minorEastAsia" w:hAnsiTheme="minorEastAsia" w:eastAsiaTheme="minorEastAsia" w:cstheme="minorEastAsia"/>
        <w:sz w:val="28"/>
        <w:szCs w:val="28"/>
      </w:rPr>
      <w:fldChar w:fldCharType="begin"/>
    </w:r>
    <w:r>
      <w:rPr>
        <w:rStyle w:val="16"/>
        <w:rFonts w:hint="eastAsia" w:asciiTheme="minorEastAsia" w:hAnsiTheme="minorEastAsia" w:eastAsiaTheme="minorEastAsia" w:cstheme="minorEastAsia"/>
        <w:sz w:val="28"/>
        <w:szCs w:val="28"/>
      </w:rPr>
      <w:instrText xml:space="preserve"> PAGE </w:instrText>
    </w:r>
    <w:r>
      <w:rPr>
        <w:rStyle w:val="16"/>
        <w:rFonts w:hint="eastAsia" w:asciiTheme="minorEastAsia" w:hAnsiTheme="minorEastAsia" w:eastAsiaTheme="minorEastAsia" w:cstheme="minorEastAsia"/>
        <w:sz w:val="28"/>
        <w:szCs w:val="28"/>
      </w:rPr>
      <w:fldChar w:fldCharType="separate"/>
    </w:r>
    <w:r>
      <w:rPr>
        <w:rStyle w:val="16"/>
        <w:rFonts w:hint="eastAsia" w:asciiTheme="minorEastAsia" w:hAnsiTheme="minorEastAsia" w:eastAsiaTheme="minorEastAsia" w:cstheme="minorEastAsia"/>
        <w:sz w:val="28"/>
        <w:szCs w:val="28"/>
      </w:rPr>
      <w:t>1</w:t>
    </w:r>
    <w:r>
      <w:rPr>
        <w:rStyle w:val="16"/>
        <w:rFonts w:hint="eastAsia" w:asciiTheme="minorEastAsia" w:hAnsiTheme="minorEastAsia" w:eastAsiaTheme="minorEastAsia" w:cstheme="minorEastAsia"/>
        <w:sz w:val="28"/>
        <w:szCs w:val="28"/>
      </w:rPr>
      <w:fldChar w:fldCharType="end"/>
    </w:r>
    <w:r>
      <w:rPr>
        <w:rStyle w:val="16"/>
        <w:rFonts w:hint="eastAsia" w:asciiTheme="minorEastAsia" w:hAnsiTheme="minorEastAsia" w:eastAsiaTheme="minorEastAsia" w:cstheme="minorEastAsia"/>
        <w:sz w:val="28"/>
        <w:szCs w:val="28"/>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F0368D"/>
    <w:rsid w:val="0000038C"/>
    <w:rsid w:val="00007435"/>
    <w:rsid w:val="000145F8"/>
    <w:rsid w:val="000164FB"/>
    <w:rsid w:val="000220CB"/>
    <w:rsid w:val="000246AA"/>
    <w:rsid w:val="00024F2F"/>
    <w:rsid w:val="00025495"/>
    <w:rsid w:val="0002549C"/>
    <w:rsid w:val="00025CF1"/>
    <w:rsid w:val="00026789"/>
    <w:rsid w:val="00026F66"/>
    <w:rsid w:val="000304FA"/>
    <w:rsid w:val="00031355"/>
    <w:rsid w:val="00036821"/>
    <w:rsid w:val="00036E1A"/>
    <w:rsid w:val="00037F00"/>
    <w:rsid w:val="000412D8"/>
    <w:rsid w:val="00041ECC"/>
    <w:rsid w:val="0004271C"/>
    <w:rsid w:val="00042E55"/>
    <w:rsid w:val="0004360A"/>
    <w:rsid w:val="00046804"/>
    <w:rsid w:val="000472AD"/>
    <w:rsid w:val="00047657"/>
    <w:rsid w:val="000476E5"/>
    <w:rsid w:val="0005064A"/>
    <w:rsid w:val="0005126C"/>
    <w:rsid w:val="0005220F"/>
    <w:rsid w:val="00052B2C"/>
    <w:rsid w:val="0005365D"/>
    <w:rsid w:val="00054A39"/>
    <w:rsid w:val="00054C9E"/>
    <w:rsid w:val="000557E5"/>
    <w:rsid w:val="000559E8"/>
    <w:rsid w:val="00056BE0"/>
    <w:rsid w:val="0006040B"/>
    <w:rsid w:val="00062076"/>
    <w:rsid w:val="000624E0"/>
    <w:rsid w:val="000634B1"/>
    <w:rsid w:val="00063D08"/>
    <w:rsid w:val="00063D5A"/>
    <w:rsid w:val="00064539"/>
    <w:rsid w:val="000646A6"/>
    <w:rsid w:val="000662FE"/>
    <w:rsid w:val="00071C29"/>
    <w:rsid w:val="00072026"/>
    <w:rsid w:val="00072BB0"/>
    <w:rsid w:val="0007525A"/>
    <w:rsid w:val="000758A4"/>
    <w:rsid w:val="00075DD9"/>
    <w:rsid w:val="00081E7F"/>
    <w:rsid w:val="00082162"/>
    <w:rsid w:val="00082CAD"/>
    <w:rsid w:val="00085CEA"/>
    <w:rsid w:val="00086581"/>
    <w:rsid w:val="00086EB0"/>
    <w:rsid w:val="00093490"/>
    <w:rsid w:val="000944F5"/>
    <w:rsid w:val="000A5A38"/>
    <w:rsid w:val="000A6F93"/>
    <w:rsid w:val="000B361F"/>
    <w:rsid w:val="000B40B2"/>
    <w:rsid w:val="000B763B"/>
    <w:rsid w:val="000C50DB"/>
    <w:rsid w:val="000D2284"/>
    <w:rsid w:val="000D52FE"/>
    <w:rsid w:val="000D67B6"/>
    <w:rsid w:val="000E068B"/>
    <w:rsid w:val="000E26EF"/>
    <w:rsid w:val="000E283C"/>
    <w:rsid w:val="000E3B50"/>
    <w:rsid w:val="000E59EF"/>
    <w:rsid w:val="000E77C3"/>
    <w:rsid w:val="000E7B95"/>
    <w:rsid w:val="000F0DF5"/>
    <w:rsid w:val="000F1EA2"/>
    <w:rsid w:val="000F27E4"/>
    <w:rsid w:val="000F5830"/>
    <w:rsid w:val="000F5867"/>
    <w:rsid w:val="000F64DF"/>
    <w:rsid w:val="000F6FED"/>
    <w:rsid w:val="000F795E"/>
    <w:rsid w:val="00102030"/>
    <w:rsid w:val="001038DC"/>
    <w:rsid w:val="00103DAB"/>
    <w:rsid w:val="0010560B"/>
    <w:rsid w:val="00111144"/>
    <w:rsid w:val="0011176B"/>
    <w:rsid w:val="001126F4"/>
    <w:rsid w:val="00113568"/>
    <w:rsid w:val="0011376A"/>
    <w:rsid w:val="00115C3C"/>
    <w:rsid w:val="00116515"/>
    <w:rsid w:val="00117B6E"/>
    <w:rsid w:val="001203B5"/>
    <w:rsid w:val="00122ACA"/>
    <w:rsid w:val="00122BB9"/>
    <w:rsid w:val="00123407"/>
    <w:rsid w:val="001240B0"/>
    <w:rsid w:val="00124540"/>
    <w:rsid w:val="00124EAA"/>
    <w:rsid w:val="0012655E"/>
    <w:rsid w:val="00127C4E"/>
    <w:rsid w:val="00127E11"/>
    <w:rsid w:val="00130CA5"/>
    <w:rsid w:val="00131C2F"/>
    <w:rsid w:val="001329C0"/>
    <w:rsid w:val="0013346B"/>
    <w:rsid w:val="00134B83"/>
    <w:rsid w:val="001363C6"/>
    <w:rsid w:val="00140826"/>
    <w:rsid w:val="00141192"/>
    <w:rsid w:val="00141681"/>
    <w:rsid w:val="00142F1E"/>
    <w:rsid w:val="00147187"/>
    <w:rsid w:val="0015129C"/>
    <w:rsid w:val="001541BC"/>
    <w:rsid w:val="00154371"/>
    <w:rsid w:val="00155430"/>
    <w:rsid w:val="001578A3"/>
    <w:rsid w:val="0016125C"/>
    <w:rsid w:val="00161BBF"/>
    <w:rsid w:val="001632FE"/>
    <w:rsid w:val="00164F8A"/>
    <w:rsid w:val="001673AA"/>
    <w:rsid w:val="00171293"/>
    <w:rsid w:val="001770E1"/>
    <w:rsid w:val="00180A40"/>
    <w:rsid w:val="00182408"/>
    <w:rsid w:val="00182E65"/>
    <w:rsid w:val="00185265"/>
    <w:rsid w:val="00187959"/>
    <w:rsid w:val="00194CDF"/>
    <w:rsid w:val="0019756F"/>
    <w:rsid w:val="001A42F3"/>
    <w:rsid w:val="001A6030"/>
    <w:rsid w:val="001A70AE"/>
    <w:rsid w:val="001A726A"/>
    <w:rsid w:val="001A72FC"/>
    <w:rsid w:val="001A7AA8"/>
    <w:rsid w:val="001B0798"/>
    <w:rsid w:val="001B1652"/>
    <w:rsid w:val="001B2532"/>
    <w:rsid w:val="001B2CE7"/>
    <w:rsid w:val="001B379F"/>
    <w:rsid w:val="001B62A4"/>
    <w:rsid w:val="001B7ECA"/>
    <w:rsid w:val="001C262B"/>
    <w:rsid w:val="001C410E"/>
    <w:rsid w:val="001C6D4A"/>
    <w:rsid w:val="001D2126"/>
    <w:rsid w:val="001D2BFC"/>
    <w:rsid w:val="001D2C81"/>
    <w:rsid w:val="001D3BB4"/>
    <w:rsid w:val="001E24C2"/>
    <w:rsid w:val="001E3165"/>
    <w:rsid w:val="001E427A"/>
    <w:rsid w:val="001E5FFD"/>
    <w:rsid w:val="001E77A4"/>
    <w:rsid w:val="001F18E5"/>
    <w:rsid w:val="001F3B1F"/>
    <w:rsid w:val="001F5DF6"/>
    <w:rsid w:val="001F6043"/>
    <w:rsid w:val="001F7D7E"/>
    <w:rsid w:val="002004E6"/>
    <w:rsid w:val="002022F2"/>
    <w:rsid w:val="00205F42"/>
    <w:rsid w:val="00211C25"/>
    <w:rsid w:val="00216779"/>
    <w:rsid w:val="002172A9"/>
    <w:rsid w:val="00220FB4"/>
    <w:rsid w:val="00226234"/>
    <w:rsid w:val="00231FBD"/>
    <w:rsid w:val="002335F2"/>
    <w:rsid w:val="002360C9"/>
    <w:rsid w:val="00236CF2"/>
    <w:rsid w:val="00242A96"/>
    <w:rsid w:val="00242D6D"/>
    <w:rsid w:val="002431F5"/>
    <w:rsid w:val="00243D59"/>
    <w:rsid w:val="002440DA"/>
    <w:rsid w:val="00245BF9"/>
    <w:rsid w:val="00246CDF"/>
    <w:rsid w:val="00246EE8"/>
    <w:rsid w:val="00252386"/>
    <w:rsid w:val="002535F1"/>
    <w:rsid w:val="002606C2"/>
    <w:rsid w:val="00260A87"/>
    <w:rsid w:val="00260FE3"/>
    <w:rsid w:val="002639E6"/>
    <w:rsid w:val="00264314"/>
    <w:rsid w:val="002652C9"/>
    <w:rsid w:val="0026766F"/>
    <w:rsid w:val="002711BD"/>
    <w:rsid w:val="00272A5E"/>
    <w:rsid w:val="00280680"/>
    <w:rsid w:val="00282777"/>
    <w:rsid w:val="0028330E"/>
    <w:rsid w:val="00283DB6"/>
    <w:rsid w:val="00284362"/>
    <w:rsid w:val="00291332"/>
    <w:rsid w:val="00293E41"/>
    <w:rsid w:val="002A0475"/>
    <w:rsid w:val="002A1B20"/>
    <w:rsid w:val="002A224E"/>
    <w:rsid w:val="002A3117"/>
    <w:rsid w:val="002A3862"/>
    <w:rsid w:val="002A4880"/>
    <w:rsid w:val="002A4C2F"/>
    <w:rsid w:val="002A5CAB"/>
    <w:rsid w:val="002A6764"/>
    <w:rsid w:val="002B1456"/>
    <w:rsid w:val="002B384C"/>
    <w:rsid w:val="002B7823"/>
    <w:rsid w:val="002C18B4"/>
    <w:rsid w:val="002C18D4"/>
    <w:rsid w:val="002C3441"/>
    <w:rsid w:val="002C400A"/>
    <w:rsid w:val="002C51E7"/>
    <w:rsid w:val="002C7C40"/>
    <w:rsid w:val="002D0FE1"/>
    <w:rsid w:val="002D2384"/>
    <w:rsid w:val="002E066F"/>
    <w:rsid w:val="002E37E3"/>
    <w:rsid w:val="002E3F83"/>
    <w:rsid w:val="002E4144"/>
    <w:rsid w:val="002E6EEB"/>
    <w:rsid w:val="002F0954"/>
    <w:rsid w:val="002F2570"/>
    <w:rsid w:val="002F5882"/>
    <w:rsid w:val="003002C8"/>
    <w:rsid w:val="00302D27"/>
    <w:rsid w:val="00305115"/>
    <w:rsid w:val="003057D1"/>
    <w:rsid w:val="00306726"/>
    <w:rsid w:val="003106BB"/>
    <w:rsid w:val="00314A46"/>
    <w:rsid w:val="00315171"/>
    <w:rsid w:val="003236C7"/>
    <w:rsid w:val="00323D66"/>
    <w:rsid w:val="00324091"/>
    <w:rsid w:val="003273C2"/>
    <w:rsid w:val="00333978"/>
    <w:rsid w:val="003355F0"/>
    <w:rsid w:val="00336863"/>
    <w:rsid w:val="003369A2"/>
    <w:rsid w:val="0034355F"/>
    <w:rsid w:val="00354619"/>
    <w:rsid w:val="0035483D"/>
    <w:rsid w:val="00356AF9"/>
    <w:rsid w:val="003575DB"/>
    <w:rsid w:val="00360B33"/>
    <w:rsid w:val="003637F7"/>
    <w:rsid w:val="00366F8B"/>
    <w:rsid w:val="003670DF"/>
    <w:rsid w:val="00370564"/>
    <w:rsid w:val="003710DC"/>
    <w:rsid w:val="00372112"/>
    <w:rsid w:val="00377481"/>
    <w:rsid w:val="003803E8"/>
    <w:rsid w:val="00382F5B"/>
    <w:rsid w:val="003855CD"/>
    <w:rsid w:val="00387412"/>
    <w:rsid w:val="00387EFE"/>
    <w:rsid w:val="00387F3B"/>
    <w:rsid w:val="0039084D"/>
    <w:rsid w:val="00391F1E"/>
    <w:rsid w:val="00393F0C"/>
    <w:rsid w:val="003A1619"/>
    <w:rsid w:val="003A1C8D"/>
    <w:rsid w:val="003A31B8"/>
    <w:rsid w:val="003A3539"/>
    <w:rsid w:val="003A4C55"/>
    <w:rsid w:val="003A68E4"/>
    <w:rsid w:val="003A6A01"/>
    <w:rsid w:val="003C1C5D"/>
    <w:rsid w:val="003C2507"/>
    <w:rsid w:val="003C3661"/>
    <w:rsid w:val="003C45A3"/>
    <w:rsid w:val="003C5C4C"/>
    <w:rsid w:val="003C7AC9"/>
    <w:rsid w:val="003D3F2C"/>
    <w:rsid w:val="003E3319"/>
    <w:rsid w:val="003E6595"/>
    <w:rsid w:val="003F3C03"/>
    <w:rsid w:val="003F6B95"/>
    <w:rsid w:val="003F762B"/>
    <w:rsid w:val="00400E57"/>
    <w:rsid w:val="00401F46"/>
    <w:rsid w:val="00404ACA"/>
    <w:rsid w:val="004075E1"/>
    <w:rsid w:val="004117A3"/>
    <w:rsid w:val="00412EE9"/>
    <w:rsid w:val="004160BA"/>
    <w:rsid w:val="00421E6D"/>
    <w:rsid w:val="00424B80"/>
    <w:rsid w:val="00424B87"/>
    <w:rsid w:val="0042665D"/>
    <w:rsid w:val="0043077F"/>
    <w:rsid w:val="00434AE9"/>
    <w:rsid w:val="00435281"/>
    <w:rsid w:val="004413E1"/>
    <w:rsid w:val="00441404"/>
    <w:rsid w:val="00445D6A"/>
    <w:rsid w:val="00451732"/>
    <w:rsid w:val="0045182D"/>
    <w:rsid w:val="004520DE"/>
    <w:rsid w:val="00453AD8"/>
    <w:rsid w:val="00455D81"/>
    <w:rsid w:val="00456220"/>
    <w:rsid w:val="00456EAF"/>
    <w:rsid w:val="00460D02"/>
    <w:rsid w:val="00462B88"/>
    <w:rsid w:val="00465B35"/>
    <w:rsid w:val="00466212"/>
    <w:rsid w:val="004673BB"/>
    <w:rsid w:val="00471FB3"/>
    <w:rsid w:val="00476C2A"/>
    <w:rsid w:val="00477F89"/>
    <w:rsid w:val="0048174E"/>
    <w:rsid w:val="00481ABC"/>
    <w:rsid w:val="00482A2E"/>
    <w:rsid w:val="00485076"/>
    <w:rsid w:val="00486C59"/>
    <w:rsid w:val="0048712D"/>
    <w:rsid w:val="00487195"/>
    <w:rsid w:val="0049022C"/>
    <w:rsid w:val="00492D06"/>
    <w:rsid w:val="00493412"/>
    <w:rsid w:val="004949A4"/>
    <w:rsid w:val="004A36C2"/>
    <w:rsid w:val="004A383B"/>
    <w:rsid w:val="004A5C3F"/>
    <w:rsid w:val="004A5FAF"/>
    <w:rsid w:val="004A6A7E"/>
    <w:rsid w:val="004A6F50"/>
    <w:rsid w:val="004B0B48"/>
    <w:rsid w:val="004B1524"/>
    <w:rsid w:val="004B1D90"/>
    <w:rsid w:val="004B22CE"/>
    <w:rsid w:val="004B6657"/>
    <w:rsid w:val="004B6717"/>
    <w:rsid w:val="004B7F00"/>
    <w:rsid w:val="004D2006"/>
    <w:rsid w:val="004D25F8"/>
    <w:rsid w:val="004D29ED"/>
    <w:rsid w:val="004D3888"/>
    <w:rsid w:val="004D3DDF"/>
    <w:rsid w:val="004D5579"/>
    <w:rsid w:val="004E0E21"/>
    <w:rsid w:val="004E0ED3"/>
    <w:rsid w:val="004E4260"/>
    <w:rsid w:val="004E54C9"/>
    <w:rsid w:val="004F3C71"/>
    <w:rsid w:val="005001C4"/>
    <w:rsid w:val="0050173D"/>
    <w:rsid w:val="00502688"/>
    <w:rsid w:val="00502C92"/>
    <w:rsid w:val="00510494"/>
    <w:rsid w:val="0051199A"/>
    <w:rsid w:val="00514835"/>
    <w:rsid w:val="00516B5A"/>
    <w:rsid w:val="00517626"/>
    <w:rsid w:val="005206A9"/>
    <w:rsid w:val="00523D7B"/>
    <w:rsid w:val="00524DF5"/>
    <w:rsid w:val="005348DD"/>
    <w:rsid w:val="00535A12"/>
    <w:rsid w:val="00535C1B"/>
    <w:rsid w:val="00537DF7"/>
    <w:rsid w:val="00540AC2"/>
    <w:rsid w:val="00543368"/>
    <w:rsid w:val="00543FDD"/>
    <w:rsid w:val="00552BF4"/>
    <w:rsid w:val="00553331"/>
    <w:rsid w:val="00555ABE"/>
    <w:rsid w:val="00560E22"/>
    <w:rsid w:val="00563C3A"/>
    <w:rsid w:val="005671E7"/>
    <w:rsid w:val="00570C49"/>
    <w:rsid w:val="00571468"/>
    <w:rsid w:val="0057433C"/>
    <w:rsid w:val="00574F2F"/>
    <w:rsid w:val="0057513D"/>
    <w:rsid w:val="00577214"/>
    <w:rsid w:val="005826BA"/>
    <w:rsid w:val="00585962"/>
    <w:rsid w:val="00585B61"/>
    <w:rsid w:val="00590974"/>
    <w:rsid w:val="0059587D"/>
    <w:rsid w:val="005971E2"/>
    <w:rsid w:val="005A08DE"/>
    <w:rsid w:val="005A109B"/>
    <w:rsid w:val="005A12B9"/>
    <w:rsid w:val="005A7C5C"/>
    <w:rsid w:val="005B451B"/>
    <w:rsid w:val="005B6334"/>
    <w:rsid w:val="005C0B1A"/>
    <w:rsid w:val="005C2F32"/>
    <w:rsid w:val="005C61BE"/>
    <w:rsid w:val="005E29FE"/>
    <w:rsid w:val="005E3195"/>
    <w:rsid w:val="005F076C"/>
    <w:rsid w:val="005F35B8"/>
    <w:rsid w:val="005F79A9"/>
    <w:rsid w:val="006016E3"/>
    <w:rsid w:val="00601A9F"/>
    <w:rsid w:val="00606836"/>
    <w:rsid w:val="006111CA"/>
    <w:rsid w:val="006116F2"/>
    <w:rsid w:val="00612EBA"/>
    <w:rsid w:val="0061488B"/>
    <w:rsid w:val="006156E8"/>
    <w:rsid w:val="00616172"/>
    <w:rsid w:val="006169A8"/>
    <w:rsid w:val="00617A74"/>
    <w:rsid w:val="0062421A"/>
    <w:rsid w:val="00626DCE"/>
    <w:rsid w:val="00627F7E"/>
    <w:rsid w:val="00631F28"/>
    <w:rsid w:val="006344A5"/>
    <w:rsid w:val="00642768"/>
    <w:rsid w:val="006427F0"/>
    <w:rsid w:val="00645635"/>
    <w:rsid w:val="006467B3"/>
    <w:rsid w:val="0065044F"/>
    <w:rsid w:val="00650B4D"/>
    <w:rsid w:val="0065260B"/>
    <w:rsid w:val="00652852"/>
    <w:rsid w:val="00652CC1"/>
    <w:rsid w:val="006540E8"/>
    <w:rsid w:val="00655843"/>
    <w:rsid w:val="00661E15"/>
    <w:rsid w:val="0066266D"/>
    <w:rsid w:val="00662A05"/>
    <w:rsid w:val="00662C99"/>
    <w:rsid w:val="00663E86"/>
    <w:rsid w:val="006672E7"/>
    <w:rsid w:val="00667C6E"/>
    <w:rsid w:val="00674D3C"/>
    <w:rsid w:val="00681C4A"/>
    <w:rsid w:val="00691834"/>
    <w:rsid w:val="00691C68"/>
    <w:rsid w:val="006935A7"/>
    <w:rsid w:val="00693FA0"/>
    <w:rsid w:val="006964A9"/>
    <w:rsid w:val="0069771E"/>
    <w:rsid w:val="00697A4F"/>
    <w:rsid w:val="00697CB3"/>
    <w:rsid w:val="006A1E91"/>
    <w:rsid w:val="006A2BCB"/>
    <w:rsid w:val="006A2C80"/>
    <w:rsid w:val="006A58AC"/>
    <w:rsid w:val="006B5F8A"/>
    <w:rsid w:val="006C5CFA"/>
    <w:rsid w:val="006C7376"/>
    <w:rsid w:val="006D0C95"/>
    <w:rsid w:val="006D1DFF"/>
    <w:rsid w:val="006D1E0E"/>
    <w:rsid w:val="006D1EB9"/>
    <w:rsid w:val="006D22ED"/>
    <w:rsid w:val="006D4E2F"/>
    <w:rsid w:val="006D73EC"/>
    <w:rsid w:val="006E0894"/>
    <w:rsid w:val="006E132B"/>
    <w:rsid w:val="006E33CC"/>
    <w:rsid w:val="006E4338"/>
    <w:rsid w:val="006E57DD"/>
    <w:rsid w:val="006E7766"/>
    <w:rsid w:val="006F07B2"/>
    <w:rsid w:val="006F3922"/>
    <w:rsid w:val="006F56E1"/>
    <w:rsid w:val="006F5ED3"/>
    <w:rsid w:val="006F7A86"/>
    <w:rsid w:val="006F7B45"/>
    <w:rsid w:val="006F7CE1"/>
    <w:rsid w:val="00702D82"/>
    <w:rsid w:val="007075EB"/>
    <w:rsid w:val="007116A3"/>
    <w:rsid w:val="00712BD8"/>
    <w:rsid w:val="00712E69"/>
    <w:rsid w:val="0071435B"/>
    <w:rsid w:val="007158DF"/>
    <w:rsid w:val="00715CFC"/>
    <w:rsid w:val="00717AA0"/>
    <w:rsid w:val="00717E53"/>
    <w:rsid w:val="007207E7"/>
    <w:rsid w:val="007220A8"/>
    <w:rsid w:val="00722D35"/>
    <w:rsid w:val="00723665"/>
    <w:rsid w:val="0072523D"/>
    <w:rsid w:val="00727DC5"/>
    <w:rsid w:val="00730C81"/>
    <w:rsid w:val="00735769"/>
    <w:rsid w:val="00737BE0"/>
    <w:rsid w:val="00741F0A"/>
    <w:rsid w:val="00746602"/>
    <w:rsid w:val="00747D80"/>
    <w:rsid w:val="00750802"/>
    <w:rsid w:val="007508D4"/>
    <w:rsid w:val="00750E5F"/>
    <w:rsid w:val="00752409"/>
    <w:rsid w:val="0075347A"/>
    <w:rsid w:val="0075513D"/>
    <w:rsid w:val="00760165"/>
    <w:rsid w:val="00761C99"/>
    <w:rsid w:val="00762CB9"/>
    <w:rsid w:val="00764A6B"/>
    <w:rsid w:val="0076503D"/>
    <w:rsid w:val="00767DB7"/>
    <w:rsid w:val="00772DBE"/>
    <w:rsid w:val="00773FF8"/>
    <w:rsid w:val="007743B8"/>
    <w:rsid w:val="00775932"/>
    <w:rsid w:val="007774E0"/>
    <w:rsid w:val="00780E3B"/>
    <w:rsid w:val="00781F7A"/>
    <w:rsid w:val="007823D3"/>
    <w:rsid w:val="00784309"/>
    <w:rsid w:val="007878CC"/>
    <w:rsid w:val="00787DD3"/>
    <w:rsid w:val="00791168"/>
    <w:rsid w:val="0079217D"/>
    <w:rsid w:val="00792E5A"/>
    <w:rsid w:val="00792F52"/>
    <w:rsid w:val="0079513C"/>
    <w:rsid w:val="00795EEE"/>
    <w:rsid w:val="00797714"/>
    <w:rsid w:val="00797F7C"/>
    <w:rsid w:val="007A6210"/>
    <w:rsid w:val="007A6CF7"/>
    <w:rsid w:val="007B0024"/>
    <w:rsid w:val="007B13AB"/>
    <w:rsid w:val="007B2DA7"/>
    <w:rsid w:val="007B3228"/>
    <w:rsid w:val="007B5F7F"/>
    <w:rsid w:val="007C4F09"/>
    <w:rsid w:val="007C5AD9"/>
    <w:rsid w:val="007D2117"/>
    <w:rsid w:val="007D2E8E"/>
    <w:rsid w:val="007D31CC"/>
    <w:rsid w:val="007D3F61"/>
    <w:rsid w:val="007D5079"/>
    <w:rsid w:val="007D5AE0"/>
    <w:rsid w:val="007D7340"/>
    <w:rsid w:val="007E0CB6"/>
    <w:rsid w:val="007E1488"/>
    <w:rsid w:val="007E1F9B"/>
    <w:rsid w:val="007E2FFD"/>
    <w:rsid w:val="007E3751"/>
    <w:rsid w:val="007E522E"/>
    <w:rsid w:val="007E7DEA"/>
    <w:rsid w:val="007F1CF6"/>
    <w:rsid w:val="007F5ED3"/>
    <w:rsid w:val="00801150"/>
    <w:rsid w:val="00803BD0"/>
    <w:rsid w:val="00805037"/>
    <w:rsid w:val="00805C45"/>
    <w:rsid w:val="00810670"/>
    <w:rsid w:val="00813CB2"/>
    <w:rsid w:val="00815A6F"/>
    <w:rsid w:val="00817F0E"/>
    <w:rsid w:val="00821BD3"/>
    <w:rsid w:val="0083371A"/>
    <w:rsid w:val="008408EA"/>
    <w:rsid w:val="0084383A"/>
    <w:rsid w:val="00843C94"/>
    <w:rsid w:val="00844A5A"/>
    <w:rsid w:val="0084663A"/>
    <w:rsid w:val="008474B3"/>
    <w:rsid w:val="00854985"/>
    <w:rsid w:val="008556B6"/>
    <w:rsid w:val="00855A18"/>
    <w:rsid w:val="00855D2A"/>
    <w:rsid w:val="00856A42"/>
    <w:rsid w:val="00856C54"/>
    <w:rsid w:val="0086438B"/>
    <w:rsid w:val="00865BCA"/>
    <w:rsid w:val="00867769"/>
    <w:rsid w:val="00870D52"/>
    <w:rsid w:val="008717E5"/>
    <w:rsid w:val="00872F9E"/>
    <w:rsid w:val="00874D5E"/>
    <w:rsid w:val="008769E5"/>
    <w:rsid w:val="008772EA"/>
    <w:rsid w:val="00877902"/>
    <w:rsid w:val="00882996"/>
    <w:rsid w:val="008830D4"/>
    <w:rsid w:val="00884544"/>
    <w:rsid w:val="00884F56"/>
    <w:rsid w:val="00884FC2"/>
    <w:rsid w:val="00885F8D"/>
    <w:rsid w:val="008876C0"/>
    <w:rsid w:val="008914FF"/>
    <w:rsid w:val="0089580E"/>
    <w:rsid w:val="00895898"/>
    <w:rsid w:val="00897465"/>
    <w:rsid w:val="0089773B"/>
    <w:rsid w:val="008A01B1"/>
    <w:rsid w:val="008A0C37"/>
    <w:rsid w:val="008B1618"/>
    <w:rsid w:val="008B170B"/>
    <w:rsid w:val="008B1CF2"/>
    <w:rsid w:val="008B6EF0"/>
    <w:rsid w:val="008B7358"/>
    <w:rsid w:val="008C2896"/>
    <w:rsid w:val="008C3E2D"/>
    <w:rsid w:val="008C5A04"/>
    <w:rsid w:val="008C62D7"/>
    <w:rsid w:val="008C75F9"/>
    <w:rsid w:val="008C7D1A"/>
    <w:rsid w:val="008D0061"/>
    <w:rsid w:val="008D01A6"/>
    <w:rsid w:val="008D1D18"/>
    <w:rsid w:val="008D2953"/>
    <w:rsid w:val="008D34C0"/>
    <w:rsid w:val="008D3822"/>
    <w:rsid w:val="008D386D"/>
    <w:rsid w:val="008D403D"/>
    <w:rsid w:val="008E6EFF"/>
    <w:rsid w:val="008F412E"/>
    <w:rsid w:val="00900DF0"/>
    <w:rsid w:val="00904BFB"/>
    <w:rsid w:val="00907B1E"/>
    <w:rsid w:val="00912399"/>
    <w:rsid w:val="009134F4"/>
    <w:rsid w:val="00914870"/>
    <w:rsid w:val="00915DD1"/>
    <w:rsid w:val="00921633"/>
    <w:rsid w:val="009224BD"/>
    <w:rsid w:val="009276FC"/>
    <w:rsid w:val="00933F99"/>
    <w:rsid w:val="00940C6E"/>
    <w:rsid w:val="0094639B"/>
    <w:rsid w:val="0095175D"/>
    <w:rsid w:val="00952C17"/>
    <w:rsid w:val="00953BDC"/>
    <w:rsid w:val="00957529"/>
    <w:rsid w:val="0095780B"/>
    <w:rsid w:val="00963556"/>
    <w:rsid w:val="009653C3"/>
    <w:rsid w:val="00966010"/>
    <w:rsid w:val="00967343"/>
    <w:rsid w:val="0097038A"/>
    <w:rsid w:val="00970ADD"/>
    <w:rsid w:val="0097329A"/>
    <w:rsid w:val="00977A50"/>
    <w:rsid w:val="00981862"/>
    <w:rsid w:val="00984123"/>
    <w:rsid w:val="00986967"/>
    <w:rsid w:val="00995D18"/>
    <w:rsid w:val="009976CE"/>
    <w:rsid w:val="009A02D3"/>
    <w:rsid w:val="009A16B6"/>
    <w:rsid w:val="009A47E9"/>
    <w:rsid w:val="009A4FD5"/>
    <w:rsid w:val="009A5163"/>
    <w:rsid w:val="009B1B40"/>
    <w:rsid w:val="009C394D"/>
    <w:rsid w:val="009C39E8"/>
    <w:rsid w:val="009C54E5"/>
    <w:rsid w:val="009D5306"/>
    <w:rsid w:val="009E06E3"/>
    <w:rsid w:val="009E344F"/>
    <w:rsid w:val="009E443C"/>
    <w:rsid w:val="009F1E5C"/>
    <w:rsid w:val="009F67A9"/>
    <w:rsid w:val="00A01DD6"/>
    <w:rsid w:val="00A05345"/>
    <w:rsid w:val="00A055D9"/>
    <w:rsid w:val="00A07F9E"/>
    <w:rsid w:val="00A11343"/>
    <w:rsid w:val="00A11872"/>
    <w:rsid w:val="00A1249C"/>
    <w:rsid w:val="00A1543D"/>
    <w:rsid w:val="00A15D19"/>
    <w:rsid w:val="00A237AC"/>
    <w:rsid w:val="00A26E49"/>
    <w:rsid w:val="00A3009D"/>
    <w:rsid w:val="00A32F6C"/>
    <w:rsid w:val="00A331A2"/>
    <w:rsid w:val="00A354D2"/>
    <w:rsid w:val="00A35546"/>
    <w:rsid w:val="00A36B4F"/>
    <w:rsid w:val="00A37BC5"/>
    <w:rsid w:val="00A41FE4"/>
    <w:rsid w:val="00A53565"/>
    <w:rsid w:val="00A53E0A"/>
    <w:rsid w:val="00A54FAC"/>
    <w:rsid w:val="00A578D2"/>
    <w:rsid w:val="00A57EC0"/>
    <w:rsid w:val="00A62B27"/>
    <w:rsid w:val="00A62B8E"/>
    <w:rsid w:val="00A653EA"/>
    <w:rsid w:val="00A65AE5"/>
    <w:rsid w:val="00A66AE6"/>
    <w:rsid w:val="00A752DE"/>
    <w:rsid w:val="00A82626"/>
    <w:rsid w:val="00A83AFC"/>
    <w:rsid w:val="00A83FFF"/>
    <w:rsid w:val="00A84DA5"/>
    <w:rsid w:val="00A91936"/>
    <w:rsid w:val="00A93D93"/>
    <w:rsid w:val="00AA08A9"/>
    <w:rsid w:val="00AB1019"/>
    <w:rsid w:val="00AB6176"/>
    <w:rsid w:val="00AB6AF4"/>
    <w:rsid w:val="00AB6BA7"/>
    <w:rsid w:val="00AC21B0"/>
    <w:rsid w:val="00AC22FB"/>
    <w:rsid w:val="00AC3A7E"/>
    <w:rsid w:val="00AC3F1E"/>
    <w:rsid w:val="00AD0285"/>
    <w:rsid w:val="00AD149E"/>
    <w:rsid w:val="00AD22C7"/>
    <w:rsid w:val="00AD4219"/>
    <w:rsid w:val="00AD60CB"/>
    <w:rsid w:val="00AD74EF"/>
    <w:rsid w:val="00AE0DC0"/>
    <w:rsid w:val="00AE2339"/>
    <w:rsid w:val="00AE5E96"/>
    <w:rsid w:val="00AF043F"/>
    <w:rsid w:val="00AF09BF"/>
    <w:rsid w:val="00AF3C0C"/>
    <w:rsid w:val="00AF4349"/>
    <w:rsid w:val="00AF4D06"/>
    <w:rsid w:val="00B00884"/>
    <w:rsid w:val="00B02A03"/>
    <w:rsid w:val="00B0358F"/>
    <w:rsid w:val="00B03CEF"/>
    <w:rsid w:val="00B04404"/>
    <w:rsid w:val="00B055CE"/>
    <w:rsid w:val="00B06E34"/>
    <w:rsid w:val="00B078D5"/>
    <w:rsid w:val="00B13F72"/>
    <w:rsid w:val="00B1555E"/>
    <w:rsid w:val="00B164A9"/>
    <w:rsid w:val="00B16E24"/>
    <w:rsid w:val="00B20C81"/>
    <w:rsid w:val="00B212E3"/>
    <w:rsid w:val="00B21606"/>
    <w:rsid w:val="00B247AC"/>
    <w:rsid w:val="00B26E4E"/>
    <w:rsid w:val="00B27130"/>
    <w:rsid w:val="00B316BF"/>
    <w:rsid w:val="00B31A51"/>
    <w:rsid w:val="00B354F3"/>
    <w:rsid w:val="00B374D4"/>
    <w:rsid w:val="00B37B09"/>
    <w:rsid w:val="00B40EFD"/>
    <w:rsid w:val="00B42081"/>
    <w:rsid w:val="00B42481"/>
    <w:rsid w:val="00B429B3"/>
    <w:rsid w:val="00B444C7"/>
    <w:rsid w:val="00B46A73"/>
    <w:rsid w:val="00B47FDE"/>
    <w:rsid w:val="00B5041B"/>
    <w:rsid w:val="00B50F03"/>
    <w:rsid w:val="00B54339"/>
    <w:rsid w:val="00B561BB"/>
    <w:rsid w:val="00B616DB"/>
    <w:rsid w:val="00B61F48"/>
    <w:rsid w:val="00B6286E"/>
    <w:rsid w:val="00B62AB7"/>
    <w:rsid w:val="00B62E94"/>
    <w:rsid w:val="00B632F4"/>
    <w:rsid w:val="00B67559"/>
    <w:rsid w:val="00B70E86"/>
    <w:rsid w:val="00B7266E"/>
    <w:rsid w:val="00B75DD0"/>
    <w:rsid w:val="00B807D7"/>
    <w:rsid w:val="00B82483"/>
    <w:rsid w:val="00B83051"/>
    <w:rsid w:val="00B84388"/>
    <w:rsid w:val="00B85B8C"/>
    <w:rsid w:val="00B864BB"/>
    <w:rsid w:val="00B866C0"/>
    <w:rsid w:val="00B869A5"/>
    <w:rsid w:val="00B86ED9"/>
    <w:rsid w:val="00B908A1"/>
    <w:rsid w:val="00B940C5"/>
    <w:rsid w:val="00B9610B"/>
    <w:rsid w:val="00B96281"/>
    <w:rsid w:val="00BA049D"/>
    <w:rsid w:val="00BA04F3"/>
    <w:rsid w:val="00BA29D9"/>
    <w:rsid w:val="00BA4B22"/>
    <w:rsid w:val="00BA6858"/>
    <w:rsid w:val="00BA6F5A"/>
    <w:rsid w:val="00BB0618"/>
    <w:rsid w:val="00BB16F1"/>
    <w:rsid w:val="00BB2D71"/>
    <w:rsid w:val="00BB62FE"/>
    <w:rsid w:val="00BB6572"/>
    <w:rsid w:val="00BC2E01"/>
    <w:rsid w:val="00BC345D"/>
    <w:rsid w:val="00BC6598"/>
    <w:rsid w:val="00BC6C95"/>
    <w:rsid w:val="00BD0CD8"/>
    <w:rsid w:val="00BD1E05"/>
    <w:rsid w:val="00BE05B8"/>
    <w:rsid w:val="00BE0A7C"/>
    <w:rsid w:val="00BE0FBA"/>
    <w:rsid w:val="00BE3206"/>
    <w:rsid w:val="00BE4B73"/>
    <w:rsid w:val="00BE5A2E"/>
    <w:rsid w:val="00BE7ED0"/>
    <w:rsid w:val="00BE7F55"/>
    <w:rsid w:val="00BF3C84"/>
    <w:rsid w:val="00BF49CA"/>
    <w:rsid w:val="00C017D3"/>
    <w:rsid w:val="00C03645"/>
    <w:rsid w:val="00C0448A"/>
    <w:rsid w:val="00C04964"/>
    <w:rsid w:val="00C07A15"/>
    <w:rsid w:val="00C10FEB"/>
    <w:rsid w:val="00C11EE5"/>
    <w:rsid w:val="00C17027"/>
    <w:rsid w:val="00C209CA"/>
    <w:rsid w:val="00C216D0"/>
    <w:rsid w:val="00C23D0D"/>
    <w:rsid w:val="00C24C31"/>
    <w:rsid w:val="00C24E1D"/>
    <w:rsid w:val="00C30C1F"/>
    <w:rsid w:val="00C30EE2"/>
    <w:rsid w:val="00C32074"/>
    <w:rsid w:val="00C324CB"/>
    <w:rsid w:val="00C36A8F"/>
    <w:rsid w:val="00C377C7"/>
    <w:rsid w:val="00C40439"/>
    <w:rsid w:val="00C40B73"/>
    <w:rsid w:val="00C40BA1"/>
    <w:rsid w:val="00C4190C"/>
    <w:rsid w:val="00C449A5"/>
    <w:rsid w:val="00C455D5"/>
    <w:rsid w:val="00C46D26"/>
    <w:rsid w:val="00C53515"/>
    <w:rsid w:val="00C55A6B"/>
    <w:rsid w:val="00C57115"/>
    <w:rsid w:val="00C6201A"/>
    <w:rsid w:val="00C67DE5"/>
    <w:rsid w:val="00C74323"/>
    <w:rsid w:val="00C747A9"/>
    <w:rsid w:val="00C8021D"/>
    <w:rsid w:val="00C82010"/>
    <w:rsid w:val="00C84D34"/>
    <w:rsid w:val="00C866BC"/>
    <w:rsid w:val="00C86F8D"/>
    <w:rsid w:val="00C90DA7"/>
    <w:rsid w:val="00C9118F"/>
    <w:rsid w:val="00C91E8E"/>
    <w:rsid w:val="00C92CAF"/>
    <w:rsid w:val="00C93E6E"/>
    <w:rsid w:val="00C96B7C"/>
    <w:rsid w:val="00CA0996"/>
    <w:rsid w:val="00CA4E3A"/>
    <w:rsid w:val="00CA6EE4"/>
    <w:rsid w:val="00CB3D2A"/>
    <w:rsid w:val="00CB4C2B"/>
    <w:rsid w:val="00CB6517"/>
    <w:rsid w:val="00CC1662"/>
    <w:rsid w:val="00CC41AD"/>
    <w:rsid w:val="00CC4CEB"/>
    <w:rsid w:val="00CC57C3"/>
    <w:rsid w:val="00CC639A"/>
    <w:rsid w:val="00CD1149"/>
    <w:rsid w:val="00CD6D0E"/>
    <w:rsid w:val="00CD7A83"/>
    <w:rsid w:val="00CE002C"/>
    <w:rsid w:val="00CE07E2"/>
    <w:rsid w:val="00CE09EC"/>
    <w:rsid w:val="00CE2022"/>
    <w:rsid w:val="00CE54D9"/>
    <w:rsid w:val="00CE776D"/>
    <w:rsid w:val="00CE7A03"/>
    <w:rsid w:val="00CF0D14"/>
    <w:rsid w:val="00CF2BAA"/>
    <w:rsid w:val="00CF3BF4"/>
    <w:rsid w:val="00CF6B85"/>
    <w:rsid w:val="00D03473"/>
    <w:rsid w:val="00D03F68"/>
    <w:rsid w:val="00D03FDE"/>
    <w:rsid w:val="00D05D4A"/>
    <w:rsid w:val="00D06765"/>
    <w:rsid w:val="00D073FF"/>
    <w:rsid w:val="00D11599"/>
    <w:rsid w:val="00D1352D"/>
    <w:rsid w:val="00D158CB"/>
    <w:rsid w:val="00D20DDB"/>
    <w:rsid w:val="00D215EF"/>
    <w:rsid w:val="00D21715"/>
    <w:rsid w:val="00D23F08"/>
    <w:rsid w:val="00D2653E"/>
    <w:rsid w:val="00D270AC"/>
    <w:rsid w:val="00D27C72"/>
    <w:rsid w:val="00D27D09"/>
    <w:rsid w:val="00D318CF"/>
    <w:rsid w:val="00D362CD"/>
    <w:rsid w:val="00D363DF"/>
    <w:rsid w:val="00D40E83"/>
    <w:rsid w:val="00D47174"/>
    <w:rsid w:val="00D55C9C"/>
    <w:rsid w:val="00D57D46"/>
    <w:rsid w:val="00D65C6B"/>
    <w:rsid w:val="00D660FD"/>
    <w:rsid w:val="00D674EA"/>
    <w:rsid w:val="00D71913"/>
    <w:rsid w:val="00D71C19"/>
    <w:rsid w:val="00D80589"/>
    <w:rsid w:val="00D81CEF"/>
    <w:rsid w:val="00D82B26"/>
    <w:rsid w:val="00D83DCE"/>
    <w:rsid w:val="00D85783"/>
    <w:rsid w:val="00D87010"/>
    <w:rsid w:val="00D91CD8"/>
    <w:rsid w:val="00D929FA"/>
    <w:rsid w:val="00D94381"/>
    <w:rsid w:val="00D96A42"/>
    <w:rsid w:val="00DA37C5"/>
    <w:rsid w:val="00DA5949"/>
    <w:rsid w:val="00DA7B4D"/>
    <w:rsid w:val="00DB3B90"/>
    <w:rsid w:val="00DB45EE"/>
    <w:rsid w:val="00DB48F9"/>
    <w:rsid w:val="00DC08D0"/>
    <w:rsid w:val="00DC196F"/>
    <w:rsid w:val="00DC34F6"/>
    <w:rsid w:val="00DC38BB"/>
    <w:rsid w:val="00DC6F9F"/>
    <w:rsid w:val="00DD0ACB"/>
    <w:rsid w:val="00DD0CA2"/>
    <w:rsid w:val="00DD45DD"/>
    <w:rsid w:val="00DD4C47"/>
    <w:rsid w:val="00DE1B24"/>
    <w:rsid w:val="00DE4052"/>
    <w:rsid w:val="00DF1793"/>
    <w:rsid w:val="00DF1D56"/>
    <w:rsid w:val="00DF1D57"/>
    <w:rsid w:val="00DF30EE"/>
    <w:rsid w:val="00DF427B"/>
    <w:rsid w:val="00DF459E"/>
    <w:rsid w:val="00DF7ECE"/>
    <w:rsid w:val="00E001AF"/>
    <w:rsid w:val="00E01B83"/>
    <w:rsid w:val="00E02C8E"/>
    <w:rsid w:val="00E0382C"/>
    <w:rsid w:val="00E11B18"/>
    <w:rsid w:val="00E12AF5"/>
    <w:rsid w:val="00E12DBB"/>
    <w:rsid w:val="00E151B2"/>
    <w:rsid w:val="00E1559D"/>
    <w:rsid w:val="00E262F0"/>
    <w:rsid w:val="00E30504"/>
    <w:rsid w:val="00E30B5D"/>
    <w:rsid w:val="00E332D5"/>
    <w:rsid w:val="00E341C3"/>
    <w:rsid w:val="00E35664"/>
    <w:rsid w:val="00E362C5"/>
    <w:rsid w:val="00E4567C"/>
    <w:rsid w:val="00E467D1"/>
    <w:rsid w:val="00E476FC"/>
    <w:rsid w:val="00E518C0"/>
    <w:rsid w:val="00E60098"/>
    <w:rsid w:val="00E609FE"/>
    <w:rsid w:val="00E60CD9"/>
    <w:rsid w:val="00E62D91"/>
    <w:rsid w:val="00E63B21"/>
    <w:rsid w:val="00E64F8E"/>
    <w:rsid w:val="00E652B2"/>
    <w:rsid w:val="00E70C2B"/>
    <w:rsid w:val="00E72CAE"/>
    <w:rsid w:val="00E7373D"/>
    <w:rsid w:val="00E740F5"/>
    <w:rsid w:val="00E74FC7"/>
    <w:rsid w:val="00E77B20"/>
    <w:rsid w:val="00E819A9"/>
    <w:rsid w:val="00E81B16"/>
    <w:rsid w:val="00E85208"/>
    <w:rsid w:val="00E86776"/>
    <w:rsid w:val="00E86C9D"/>
    <w:rsid w:val="00E92480"/>
    <w:rsid w:val="00E93947"/>
    <w:rsid w:val="00E96163"/>
    <w:rsid w:val="00E96352"/>
    <w:rsid w:val="00EA0620"/>
    <w:rsid w:val="00EA447A"/>
    <w:rsid w:val="00EA5F31"/>
    <w:rsid w:val="00EB182A"/>
    <w:rsid w:val="00EB3C33"/>
    <w:rsid w:val="00EB497A"/>
    <w:rsid w:val="00EB5AFB"/>
    <w:rsid w:val="00EC362C"/>
    <w:rsid w:val="00EC4497"/>
    <w:rsid w:val="00EC4502"/>
    <w:rsid w:val="00EC58AB"/>
    <w:rsid w:val="00EC5BC8"/>
    <w:rsid w:val="00EC5BCF"/>
    <w:rsid w:val="00ED0E51"/>
    <w:rsid w:val="00ED1807"/>
    <w:rsid w:val="00EE43C0"/>
    <w:rsid w:val="00EE4BA0"/>
    <w:rsid w:val="00EE5659"/>
    <w:rsid w:val="00EE7457"/>
    <w:rsid w:val="00EE7555"/>
    <w:rsid w:val="00EF120C"/>
    <w:rsid w:val="00EF4C22"/>
    <w:rsid w:val="00EF57A3"/>
    <w:rsid w:val="00EF61CE"/>
    <w:rsid w:val="00EF7576"/>
    <w:rsid w:val="00F00279"/>
    <w:rsid w:val="00F0368D"/>
    <w:rsid w:val="00F047A4"/>
    <w:rsid w:val="00F0538A"/>
    <w:rsid w:val="00F0606D"/>
    <w:rsid w:val="00F112D6"/>
    <w:rsid w:val="00F12A8A"/>
    <w:rsid w:val="00F14A4E"/>
    <w:rsid w:val="00F15775"/>
    <w:rsid w:val="00F1770E"/>
    <w:rsid w:val="00F17786"/>
    <w:rsid w:val="00F20C94"/>
    <w:rsid w:val="00F22455"/>
    <w:rsid w:val="00F2294F"/>
    <w:rsid w:val="00F23D0E"/>
    <w:rsid w:val="00F3006F"/>
    <w:rsid w:val="00F30BB1"/>
    <w:rsid w:val="00F339F4"/>
    <w:rsid w:val="00F3679A"/>
    <w:rsid w:val="00F41EF0"/>
    <w:rsid w:val="00F430F3"/>
    <w:rsid w:val="00F431E4"/>
    <w:rsid w:val="00F472FF"/>
    <w:rsid w:val="00F479EE"/>
    <w:rsid w:val="00F47AF2"/>
    <w:rsid w:val="00F5022E"/>
    <w:rsid w:val="00F54245"/>
    <w:rsid w:val="00F5441C"/>
    <w:rsid w:val="00F54C4F"/>
    <w:rsid w:val="00F5503A"/>
    <w:rsid w:val="00F56D88"/>
    <w:rsid w:val="00F635CD"/>
    <w:rsid w:val="00F64252"/>
    <w:rsid w:val="00F65588"/>
    <w:rsid w:val="00F70993"/>
    <w:rsid w:val="00F725F7"/>
    <w:rsid w:val="00F772A3"/>
    <w:rsid w:val="00F801CB"/>
    <w:rsid w:val="00F802F8"/>
    <w:rsid w:val="00F815C4"/>
    <w:rsid w:val="00F81E97"/>
    <w:rsid w:val="00F8529F"/>
    <w:rsid w:val="00F86333"/>
    <w:rsid w:val="00F874DC"/>
    <w:rsid w:val="00F91ACC"/>
    <w:rsid w:val="00F92378"/>
    <w:rsid w:val="00F923B6"/>
    <w:rsid w:val="00F9274E"/>
    <w:rsid w:val="00F93EE3"/>
    <w:rsid w:val="00F94BA2"/>
    <w:rsid w:val="00F954CE"/>
    <w:rsid w:val="00F95FD1"/>
    <w:rsid w:val="00F96D6E"/>
    <w:rsid w:val="00FA0B58"/>
    <w:rsid w:val="00FA1664"/>
    <w:rsid w:val="00FA2C8A"/>
    <w:rsid w:val="00FA2D02"/>
    <w:rsid w:val="00FA31B3"/>
    <w:rsid w:val="00FB083A"/>
    <w:rsid w:val="00FB35D3"/>
    <w:rsid w:val="00FB38DD"/>
    <w:rsid w:val="00FB40B8"/>
    <w:rsid w:val="00FB6940"/>
    <w:rsid w:val="00FB6B7D"/>
    <w:rsid w:val="00FC515F"/>
    <w:rsid w:val="00FC53E9"/>
    <w:rsid w:val="00FC5789"/>
    <w:rsid w:val="00FC58AA"/>
    <w:rsid w:val="00FC6622"/>
    <w:rsid w:val="00FD36AF"/>
    <w:rsid w:val="00FD3F6A"/>
    <w:rsid w:val="00FD410E"/>
    <w:rsid w:val="00FD41DE"/>
    <w:rsid w:val="00FD6D09"/>
    <w:rsid w:val="00FE4E09"/>
    <w:rsid w:val="00FE58CA"/>
    <w:rsid w:val="00FE78A7"/>
    <w:rsid w:val="00FF309C"/>
    <w:rsid w:val="00FF310C"/>
    <w:rsid w:val="00FF3351"/>
    <w:rsid w:val="00FF64EE"/>
    <w:rsid w:val="00FF6785"/>
    <w:rsid w:val="01A1333F"/>
    <w:rsid w:val="01EF6867"/>
    <w:rsid w:val="029A0065"/>
    <w:rsid w:val="02C63CDF"/>
    <w:rsid w:val="02ED5252"/>
    <w:rsid w:val="04825AA8"/>
    <w:rsid w:val="05082F5B"/>
    <w:rsid w:val="055C5393"/>
    <w:rsid w:val="05951C6D"/>
    <w:rsid w:val="07AE501A"/>
    <w:rsid w:val="08AF4729"/>
    <w:rsid w:val="08BB1FAB"/>
    <w:rsid w:val="0B7E5B73"/>
    <w:rsid w:val="0BA462F9"/>
    <w:rsid w:val="0C7703B1"/>
    <w:rsid w:val="0D21315A"/>
    <w:rsid w:val="0D3F0498"/>
    <w:rsid w:val="0F4A7A8B"/>
    <w:rsid w:val="10094DFF"/>
    <w:rsid w:val="1049530F"/>
    <w:rsid w:val="11782028"/>
    <w:rsid w:val="120F469C"/>
    <w:rsid w:val="15771A76"/>
    <w:rsid w:val="199123B8"/>
    <w:rsid w:val="1A3C53BE"/>
    <w:rsid w:val="1BF44D89"/>
    <w:rsid w:val="1CB251F7"/>
    <w:rsid w:val="1D1F3384"/>
    <w:rsid w:val="1D954FD8"/>
    <w:rsid w:val="1F610439"/>
    <w:rsid w:val="2032701F"/>
    <w:rsid w:val="204C2618"/>
    <w:rsid w:val="208B39CC"/>
    <w:rsid w:val="20D62275"/>
    <w:rsid w:val="24323D29"/>
    <w:rsid w:val="24393B82"/>
    <w:rsid w:val="2440045C"/>
    <w:rsid w:val="24692EB2"/>
    <w:rsid w:val="24DF18D8"/>
    <w:rsid w:val="254328B3"/>
    <w:rsid w:val="266E1BF4"/>
    <w:rsid w:val="278B0FD6"/>
    <w:rsid w:val="27B9294F"/>
    <w:rsid w:val="28216CF1"/>
    <w:rsid w:val="29BE107E"/>
    <w:rsid w:val="29DC42CC"/>
    <w:rsid w:val="2B45349A"/>
    <w:rsid w:val="2E94420C"/>
    <w:rsid w:val="2E983934"/>
    <w:rsid w:val="309E1320"/>
    <w:rsid w:val="317234DA"/>
    <w:rsid w:val="322C7519"/>
    <w:rsid w:val="323D6BBF"/>
    <w:rsid w:val="326A7615"/>
    <w:rsid w:val="33410E94"/>
    <w:rsid w:val="33623948"/>
    <w:rsid w:val="33D415DC"/>
    <w:rsid w:val="3734079D"/>
    <w:rsid w:val="3748285A"/>
    <w:rsid w:val="375F2868"/>
    <w:rsid w:val="37981B3C"/>
    <w:rsid w:val="3AAB5CB6"/>
    <w:rsid w:val="3B0A6F00"/>
    <w:rsid w:val="3B81730C"/>
    <w:rsid w:val="3B8C0330"/>
    <w:rsid w:val="3BB9109D"/>
    <w:rsid w:val="41E05A92"/>
    <w:rsid w:val="42163A9C"/>
    <w:rsid w:val="430A22B5"/>
    <w:rsid w:val="45FD6F9A"/>
    <w:rsid w:val="46430074"/>
    <w:rsid w:val="47007A9B"/>
    <w:rsid w:val="47DD19EC"/>
    <w:rsid w:val="480D3E44"/>
    <w:rsid w:val="484777F1"/>
    <w:rsid w:val="493C2F84"/>
    <w:rsid w:val="4B6E11B0"/>
    <w:rsid w:val="4C511625"/>
    <w:rsid w:val="4D75382A"/>
    <w:rsid w:val="4D7F4B92"/>
    <w:rsid w:val="4DF624D5"/>
    <w:rsid w:val="4E1D6524"/>
    <w:rsid w:val="4EA44C63"/>
    <w:rsid w:val="4EDF5348"/>
    <w:rsid w:val="50A85728"/>
    <w:rsid w:val="51141D66"/>
    <w:rsid w:val="531B0715"/>
    <w:rsid w:val="55A1614B"/>
    <w:rsid w:val="55A87A37"/>
    <w:rsid w:val="56276187"/>
    <w:rsid w:val="56A60DFA"/>
    <w:rsid w:val="57691D9F"/>
    <w:rsid w:val="588F358C"/>
    <w:rsid w:val="58A7138D"/>
    <w:rsid w:val="59AF5688"/>
    <w:rsid w:val="5AEF216E"/>
    <w:rsid w:val="5BD24304"/>
    <w:rsid w:val="5C1328D6"/>
    <w:rsid w:val="5C9F127E"/>
    <w:rsid w:val="5D6E17B6"/>
    <w:rsid w:val="5DC11415"/>
    <w:rsid w:val="5E9629AD"/>
    <w:rsid w:val="5FAA3128"/>
    <w:rsid w:val="6010108A"/>
    <w:rsid w:val="60F82EC2"/>
    <w:rsid w:val="61554BBE"/>
    <w:rsid w:val="62B47CCE"/>
    <w:rsid w:val="63251BCD"/>
    <w:rsid w:val="645F2659"/>
    <w:rsid w:val="64993D74"/>
    <w:rsid w:val="65965768"/>
    <w:rsid w:val="65E903E4"/>
    <w:rsid w:val="6644340F"/>
    <w:rsid w:val="66FE3B85"/>
    <w:rsid w:val="678A1D4C"/>
    <w:rsid w:val="67A81BB7"/>
    <w:rsid w:val="690E15AF"/>
    <w:rsid w:val="69257F23"/>
    <w:rsid w:val="6A7F12E2"/>
    <w:rsid w:val="6C3C066A"/>
    <w:rsid w:val="6E9D192B"/>
    <w:rsid w:val="6F4F4C9B"/>
    <w:rsid w:val="70184BC1"/>
    <w:rsid w:val="714513A1"/>
    <w:rsid w:val="717E2402"/>
    <w:rsid w:val="744A10EC"/>
    <w:rsid w:val="757741C6"/>
    <w:rsid w:val="76541BCF"/>
    <w:rsid w:val="76BB5927"/>
    <w:rsid w:val="76D97784"/>
    <w:rsid w:val="77A8494E"/>
    <w:rsid w:val="79161A88"/>
    <w:rsid w:val="79C24397"/>
    <w:rsid w:val="79CA4DB4"/>
    <w:rsid w:val="7A4E293E"/>
    <w:rsid w:val="7B274F21"/>
    <w:rsid w:val="7C06446D"/>
    <w:rsid w:val="7DF977F1"/>
    <w:rsid w:val="7E423646"/>
    <w:rsid w:val="7F4D21E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name="Default Paragraph Font"/>
    <w:lsdException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nhideWhenUsed="0" w:uiPriority="99" w:semiHidden="0" w:name="Block Text"/>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9"/>
    <w:uiPriority w:val="99"/>
    <w:pPr>
      <w:spacing w:after="120"/>
    </w:pPr>
  </w:style>
  <w:style w:type="paragraph" w:styleId="3">
    <w:name w:val="Body Text Indent"/>
    <w:basedOn w:val="1"/>
    <w:link w:val="20"/>
    <w:qFormat/>
    <w:uiPriority w:val="99"/>
    <w:pPr>
      <w:spacing w:line="500" w:lineRule="exact"/>
      <w:ind w:firstLine="560"/>
    </w:pPr>
    <w:rPr>
      <w:rFonts w:ascii="仿宋_GB2312" w:eastAsia="仿宋_GB2312"/>
      <w:b/>
      <w:bCs/>
      <w:sz w:val="28"/>
      <w:szCs w:val="20"/>
    </w:rPr>
  </w:style>
  <w:style w:type="paragraph" w:styleId="4">
    <w:name w:val="Block Text"/>
    <w:basedOn w:val="1"/>
    <w:uiPriority w:val="99"/>
    <w:pPr>
      <w:spacing w:beforeLines="150" w:line="300" w:lineRule="auto"/>
      <w:ind w:left="719" w:leftChars="225" w:right="-1774" w:rightChars="-739" w:hanging="179" w:hangingChars="64"/>
    </w:pPr>
    <w:rPr>
      <w:rFonts w:eastAsia="黑体"/>
      <w:sz w:val="28"/>
      <w:szCs w:val="18"/>
    </w:rPr>
  </w:style>
  <w:style w:type="paragraph" w:styleId="5">
    <w:name w:val="Plain Text"/>
    <w:basedOn w:val="1"/>
    <w:link w:val="21"/>
    <w:qFormat/>
    <w:uiPriority w:val="99"/>
    <w:rPr>
      <w:rFonts w:ascii="宋体" w:hAnsi="Courier New" w:cs="Courier New"/>
      <w:szCs w:val="21"/>
    </w:rPr>
  </w:style>
  <w:style w:type="paragraph" w:styleId="6">
    <w:name w:val="Date"/>
    <w:basedOn w:val="1"/>
    <w:next w:val="1"/>
    <w:link w:val="22"/>
    <w:uiPriority w:val="99"/>
    <w:pPr>
      <w:ind w:left="100" w:leftChars="2500"/>
    </w:pPr>
  </w:style>
  <w:style w:type="paragraph" w:styleId="7">
    <w:name w:val="Body Text Indent 2"/>
    <w:basedOn w:val="1"/>
    <w:link w:val="23"/>
    <w:uiPriority w:val="99"/>
    <w:pPr>
      <w:spacing w:line="500" w:lineRule="exact"/>
      <w:ind w:firstLine="560"/>
    </w:pPr>
    <w:rPr>
      <w:rFonts w:ascii="仿宋_GB2312" w:eastAsia="仿宋_GB2312"/>
      <w:sz w:val="28"/>
      <w:szCs w:val="20"/>
    </w:rPr>
  </w:style>
  <w:style w:type="paragraph" w:styleId="8">
    <w:name w:val="Balloon Text"/>
    <w:basedOn w:val="1"/>
    <w:link w:val="24"/>
    <w:semiHidden/>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rFonts w:cs="Times New Roman"/>
      <w:b/>
    </w:rPr>
  </w:style>
  <w:style w:type="character" w:styleId="16">
    <w:name w:val="page number"/>
    <w:basedOn w:val="14"/>
    <w:qFormat/>
    <w:uiPriority w:val="99"/>
    <w:rPr>
      <w:rFonts w:cs="Times New Roman"/>
    </w:rPr>
  </w:style>
  <w:style w:type="character" w:styleId="17">
    <w:name w:val="Emphasis"/>
    <w:basedOn w:val="14"/>
    <w:qFormat/>
    <w:uiPriority w:val="99"/>
    <w:rPr>
      <w:rFonts w:cs="Times New Roman"/>
      <w:color w:val="CC0000"/>
    </w:rPr>
  </w:style>
  <w:style w:type="character" w:styleId="18">
    <w:name w:val="Hyperlink"/>
    <w:basedOn w:val="14"/>
    <w:qFormat/>
    <w:uiPriority w:val="99"/>
    <w:rPr>
      <w:rFonts w:cs="Times New Roman"/>
      <w:color w:val="0000FF"/>
      <w:u w:val="single"/>
    </w:rPr>
  </w:style>
  <w:style w:type="character" w:customStyle="1" w:styleId="19">
    <w:name w:val="正文文本 Char"/>
    <w:basedOn w:val="14"/>
    <w:link w:val="2"/>
    <w:semiHidden/>
    <w:qFormat/>
    <w:locked/>
    <w:uiPriority w:val="99"/>
    <w:rPr>
      <w:rFonts w:cs="Times New Roman"/>
      <w:sz w:val="24"/>
      <w:szCs w:val="24"/>
    </w:rPr>
  </w:style>
  <w:style w:type="character" w:customStyle="1" w:styleId="20">
    <w:name w:val="正文文本缩进 Char"/>
    <w:basedOn w:val="14"/>
    <w:link w:val="3"/>
    <w:semiHidden/>
    <w:qFormat/>
    <w:locked/>
    <w:uiPriority w:val="99"/>
    <w:rPr>
      <w:rFonts w:cs="Times New Roman"/>
      <w:sz w:val="24"/>
      <w:szCs w:val="24"/>
    </w:rPr>
  </w:style>
  <w:style w:type="character" w:customStyle="1" w:styleId="21">
    <w:name w:val="纯文本 Char"/>
    <w:basedOn w:val="14"/>
    <w:link w:val="5"/>
    <w:semiHidden/>
    <w:qFormat/>
    <w:locked/>
    <w:uiPriority w:val="99"/>
    <w:rPr>
      <w:rFonts w:ascii="宋体" w:hAnsi="Courier New" w:cs="Courier New"/>
      <w:sz w:val="21"/>
      <w:szCs w:val="21"/>
    </w:rPr>
  </w:style>
  <w:style w:type="character" w:customStyle="1" w:styleId="22">
    <w:name w:val="日期 Char"/>
    <w:basedOn w:val="14"/>
    <w:link w:val="6"/>
    <w:semiHidden/>
    <w:qFormat/>
    <w:locked/>
    <w:uiPriority w:val="99"/>
    <w:rPr>
      <w:rFonts w:cs="Times New Roman"/>
      <w:sz w:val="24"/>
      <w:szCs w:val="24"/>
    </w:rPr>
  </w:style>
  <w:style w:type="character" w:customStyle="1" w:styleId="23">
    <w:name w:val="正文文本缩进 2 Char"/>
    <w:basedOn w:val="14"/>
    <w:link w:val="7"/>
    <w:semiHidden/>
    <w:qFormat/>
    <w:locked/>
    <w:uiPriority w:val="99"/>
    <w:rPr>
      <w:rFonts w:cs="Times New Roman"/>
      <w:sz w:val="24"/>
      <w:szCs w:val="24"/>
    </w:rPr>
  </w:style>
  <w:style w:type="character" w:customStyle="1" w:styleId="24">
    <w:name w:val="批注框文本 Char"/>
    <w:basedOn w:val="14"/>
    <w:link w:val="8"/>
    <w:semiHidden/>
    <w:qFormat/>
    <w:locked/>
    <w:uiPriority w:val="99"/>
    <w:rPr>
      <w:rFonts w:cs="Times New Roman"/>
      <w:sz w:val="2"/>
    </w:rPr>
  </w:style>
  <w:style w:type="character" w:customStyle="1" w:styleId="25">
    <w:name w:val="页脚 Char"/>
    <w:basedOn w:val="14"/>
    <w:link w:val="9"/>
    <w:semiHidden/>
    <w:qFormat/>
    <w:locked/>
    <w:uiPriority w:val="99"/>
    <w:rPr>
      <w:rFonts w:cs="Times New Roman"/>
      <w:sz w:val="18"/>
      <w:szCs w:val="18"/>
    </w:rPr>
  </w:style>
  <w:style w:type="character" w:customStyle="1" w:styleId="26">
    <w:name w:val="页眉 Char"/>
    <w:basedOn w:val="14"/>
    <w:link w:val="10"/>
    <w:semiHidden/>
    <w:qFormat/>
    <w:locked/>
    <w:uiPriority w:val="99"/>
    <w:rPr>
      <w:rFonts w:cs="Times New Roman"/>
      <w:sz w:val="18"/>
      <w:szCs w:val="18"/>
    </w:rPr>
  </w:style>
  <w:style w:type="paragraph" w:customStyle="1" w:styleId="27">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8">
    <w:name w:val="p0"/>
    <w:basedOn w:val="1"/>
    <w:qFormat/>
    <w:uiPriority w:val="99"/>
    <w:pPr>
      <w:widowControl/>
      <w:spacing w:before="100" w:beforeAutospacing="1" w:after="100" w:afterAutospacing="1"/>
      <w:jc w:val="left"/>
    </w:pPr>
    <w:rPr>
      <w:rFonts w:ascii="宋体" w:hAnsi="宋体" w:cs="宋体"/>
      <w:kern w:val="0"/>
      <w:sz w:val="24"/>
    </w:rPr>
  </w:style>
  <w:style w:type="paragraph" w:customStyle="1" w:styleId="29">
    <w:name w:val="Char Char"/>
    <w:basedOn w:val="1"/>
    <w:qFormat/>
    <w:uiPriority w:val="99"/>
    <w:pPr>
      <w:widowControl/>
      <w:spacing w:after="160" w:line="240" w:lineRule="exact"/>
      <w:jc w:val="left"/>
    </w:pPr>
    <w:rPr>
      <w:rFonts w:ascii="Verdana" w:hAnsi="Verdana" w:eastAsia="仿宋_GB2312" w:cs="Verdana"/>
      <w:kern w:val="0"/>
      <w:sz w:val="24"/>
      <w:lang w:eastAsia="en-US"/>
    </w:rPr>
  </w:style>
  <w:style w:type="paragraph" w:customStyle="1" w:styleId="30">
    <w:name w:val="Char Char Char Char Char Char Char Char Char Char Char Char Char Char Char Char Char Char Char Char Char Char Char Char Char Char Char Char Char Char Char Char Char"/>
    <w:basedOn w:val="1"/>
    <w:qFormat/>
    <w:uiPriority w:val="99"/>
    <w:pPr>
      <w:widowControl/>
      <w:spacing w:after="160" w:line="240" w:lineRule="exact"/>
      <w:jc w:val="left"/>
    </w:pPr>
    <w:rPr>
      <w:rFonts w:ascii="方正仿宋_GBK" w:eastAsia="方正仿宋_GBK"/>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6</Pages>
  <Words>235</Words>
  <Characters>1346</Characters>
  <Lines>11</Lines>
  <Paragraphs>3</Paragraphs>
  <TotalTime>49</TotalTime>
  <ScaleCrop>false</ScaleCrop>
  <LinksUpToDate>false</LinksUpToDate>
  <CharactersWithSpaces>1578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2020-03-05T02:55:00Z</dcterms:created>
  <dc:creator>MC SYSTEM</dc:creator>
  <cp:lastModifiedBy>卫计委文印社</cp:lastModifiedBy>
  <cp:lastPrinted>2020-03-26T06:18:17Z</cp:lastPrinted>
  <dcterms:modified xsi:type="dcterms:W3CDTF">2020-03-26T07:06:41Z</dcterms:modified>
  <dc:title>海教安〔2019〕2号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