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olor w:val="auto"/>
          <w:sz w:val="36"/>
          <w:szCs w:val="36"/>
        </w:rPr>
      </w:pPr>
    </w:p>
    <w:p>
      <w:pPr>
        <w:jc w:val="center"/>
        <w:rPr>
          <w:rFonts w:hint="eastAsia" w:ascii="华文中宋" w:hAnsi="华文中宋" w:eastAsia="华文中宋"/>
          <w:color w:val="auto"/>
          <w:sz w:val="36"/>
          <w:szCs w:val="36"/>
        </w:rPr>
      </w:pPr>
    </w:p>
    <w:p>
      <w:pPr>
        <w:jc w:val="center"/>
        <w:rPr>
          <w:rFonts w:hint="eastAsia" w:ascii="仿宋_GB2312" w:hAnsi="仿宋_GB2312" w:eastAsia="仿宋_GB2312" w:cs="仿宋_GB2312"/>
          <w:color w:val="auto"/>
          <w:sz w:val="36"/>
          <w:szCs w:val="36"/>
        </w:rPr>
      </w:pPr>
    </w:p>
    <w:p>
      <w:pPr>
        <w:keepNext w:val="0"/>
        <w:keepLines w:val="0"/>
        <w:pageBreakBefore w:val="0"/>
        <w:widowControl w:val="0"/>
        <w:kinsoku/>
        <w:wordWrap/>
        <w:overflowPunct/>
        <w:topLinePunct w:val="0"/>
        <w:autoSpaceDE/>
        <w:autoSpaceDN/>
        <w:bidi w:val="0"/>
        <w:adjustRightInd/>
        <w:snapToGrid/>
        <w:spacing w:before="469" w:beforeLines="150" w:after="313" w:afterLines="100"/>
        <w:jc w:val="center"/>
        <w:textAlignment w:val="auto"/>
        <w:outlineLvl w:val="9"/>
        <w:rPr>
          <w:rFonts w:hint="eastAsia" w:ascii="仿宋_GB2312" w:hAnsi="仿宋_GB2312" w:eastAsia="仿宋_GB2312" w:cs="仿宋_GB2312"/>
          <w:color w:val="auto"/>
          <w:sz w:val="36"/>
          <w:szCs w:val="36"/>
        </w:rPr>
      </w:pPr>
      <w:r>
        <w:rPr>
          <w:rFonts w:hint="eastAsia" w:ascii="仿宋_GB2312" w:hAnsi="仿宋_GB2312" w:eastAsia="仿宋_GB2312" w:cs="仿宋_GB2312"/>
          <w:color w:val="auto"/>
          <w:sz w:val="32"/>
          <w:szCs w:val="32"/>
        </w:rPr>
        <w:t>海卫</w:t>
      </w:r>
      <w:r>
        <w:rPr>
          <w:rFonts w:hint="eastAsia" w:ascii="仿宋_GB2312" w:hAnsi="仿宋_GB2312" w:eastAsia="仿宋_GB2312" w:cs="仿宋_GB2312"/>
          <w:color w:val="auto"/>
          <w:sz w:val="32"/>
          <w:szCs w:val="32"/>
          <w:lang w:eastAsia="zh-CN"/>
        </w:rPr>
        <w:t>健</w:t>
      </w:r>
      <w:r>
        <w:rPr>
          <w:rFonts w:hint="eastAsia" w:ascii="仿宋_GB2312" w:hAnsi="仿宋_GB2312" w:eastAsia="仿宋_GB2312" w:cs="仿宋_GB2312"/>
          <w:color w:val="auto"/>
          <w:sz w:val="32"/>
          <w:szCs w:val="32"/>
        </w:rPr>
        <w:t>发〔20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号</w:t>
      </w:r>
    </w:p>
    <w:p>
      <w:pPr>
        <w:jc w:val="center"/>
        <w:rPr>
          <w:rFonts w:hint="eastAsia" w:ascii="华文中宋" w:hAnsi="华文中宋" w:eastAsia="华文中宋"/>
          <w:color w:val="auto"/>
          <w:sz w:val="36"/>
          <w:szCs w:val="36"/>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小标宋_GBK" w:eastAsia="方正小标宋_GBK"/>
          <w:sz w:val="44"/>
          <w:szCs w:val="44"/>
        </w:rPr>
      </w:pPr>
      <w:r>
        <w:rPr>
          <w:rFonts w:hint="eastAsia" w:ascii="方正小标宋_GBK" w:eastAsia="方正小标宋_GBK"/>
          <w:sz w:val="44"/>
          <w:szCs w:val="44"/>
        </w:rPr>
        <w:t>关于印发《南通市江海健康扶贫基金</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小标宋_GBK" w:eastAsia="方正小标宋_GBK"/>
          <w:sz w:val="44"/>
          <w:szCs w:val="44"/>
        </w:rPr>
      </w:pPr>
      <w:r>
        <w:rPr>
          <w:rFonts w:hint="eastAsia" w:ascii="方正小标宋_GBK" w:eastAsia="方正小标宋_GBK"/>
          <w:sz w:val="44"/>
          <w:szCs w:val="44"/>
        </w:rPr>
        <w:t>管理办法海安市实施方案（试行）》的通知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仿宋_GB2312" w:eastAsia="仿宋_GB2312"/>
          <w:sz w:val="32"/>
          <w:szCs w:val="32"/>
        </w:rPr>
      </w:pPr>
      <w:r>
        <w:rPr>
          <w:rFonts w:hint="eastAsia" w:ascii="仿宋_GB2312" w:eastAsia="仿宋_GB2312"/>
          <w:sz w:val="32"/>
          <w:szCs w:val="32"/>
        </w:rPr>
        <w:t>各医疗机构：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ascii="仿宋_GB2312" w:eastAsia="仿宋_GB2312"/>
          <w:sz w:val="32"/>
          <w:szCs w:val="32"/>
        </w:rPr>
      </w:pPr>
      <w:r>
        <w:rPr>
          <w:rFonts w:hint="eastAsia" w:ascii="仿宋_GB2312" w:eastAsia="仿宋_GB2312"/>
          <w:sz w:val="32"/>
          <w:szCs w:val="32"/>
        </w:rPr>
        <w:t>根据《南通市江海健康扶贫基金管理办法（试行）》（通卫财务〔2019〕30号）和相关会议精神，经研究，制定《南通市江海健康扶贫基金管理办法海安市实施方案（试行）》，请遵照执行。</w:t>
      </w:r>
    </w:p>
    <w:p>
      <w:pPr>
        <w:pStyle w:val="8"/>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center"/>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center"/>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center"/>
        <w:textAlignment w:val="auto"/>
        <w:rPr>
          <w:rFonts w:ascii="仿宋_GB2312" w:eastAsia="仿宋_GB2312"/>
          <w:sz w:val="32"/>
          <w:szCs w:val="32"/>
        </w:rPr>
      </w:pPr>
      <w:r>
        <w:rPr>
          <w:rFonts w:hint="eastAsia" w:ascii="仿宋_GB2312" w:eastAsia="仿宋_GB2312"/>
          <w:sz w:val="32"/>
          <w:szCs w:val="32"/>
        </w:rPr>
        <w:t xml:space="preserve">                         海安市卫</w:t>
      </w:r>
      <w:bookmarkStart w:id="0" w:name="_GoBack"/>
      <w:bookmarkEnd w:id="0"/>
      <w:r>
        <w:rPr>
          <w:rFonts w:hint="eastAsia" w:ascii="仿宋_GB2312" w:eastAsia="仿宋_GB2312"/>
          <w:sz w:val="32"/>
          <w:szCs w:val="32"/>
        </w:rPr>
        <w:t>生健康委员会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center"/>
        <w:textAlignment w:val="auto"/>
        <w:rPr>
          <w:rFonts w:hint="eastAsia" w:ascii="仿宋_GB2312" w:eastAsia="仿宋_GB2312"/>
          <w:sz w:val="32"/>
          <w:szCs w:val="32"/>
        </w:rPr>
      </w:pPr>
      <w:r>
        <w:rPr>
          <w:rFonts w:hint="eastAsia" w:ascii="仿宋_GB2312" w:eastAsia="仿宋_GB2312"/>
          <w:sz w:val="32"/>
          <w:szCs w:val="32"/>
        </w:rPr>
        <w:t xml:space="preserve">                         2020年3月2日      </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center"/>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center"/>
        <w:textAlignment w:val="auto"/>
        <w:rPr>
          <w:rFonts w:hint="eastAsia" w:ascii="仿宋_GB2312" w:eastAsia="仿宋_GB2312"/>
          <w:sz w:val="32"/>
          <w:szCs w:val="32"/>
        </w:rPr>
      </w:pPr>
    </w:p>
    <w:tbl>
      <w:tblPr>
        <w:tblStyle w:val="6"/>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72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720" w:type="dxa"/>
            <w:tcBorders>
              <w:tl2br w:val="nil"/>
              <w:tr2bl w:val="nil"/>
            </w:tcBorders>
          </w:tcPr>
          <w:p>
            <w:pPr>
              <w:snapToGrid w:val="0"/>
              <w:spacing w:line="560" w:lineRule="exact"/>
              <w:ind w:firstLine="0"/>
              <w:rPr>
                <w:rFonts w:ascii="仿宋_GB2312" w:hAnsi="仿宋_GB2312" w:eastAsia="仿宋_GB2312" w:cs="仿宋_GB2312"/>
                <w:sz w:val="32"/>
                <w:szCs w:val="32"/>
              </w:rPr>
            </w:pPr>
            <w:r>
              <w:rPr>
                <w:rFonts w:hint="eastAsia" w:ascii="仿宋_GB2312" w:hAnsi="仿宋_GB2312" w:eastAsia="仿宋_GB2312" w:cs="仿宋_GB2312"/>
                <w:sz w:val="32"/>
                <w:szCs w:val="32"/>
              </w:rPr>
              <w:t>海安市卫生健康委员会办公室      2020年3月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日印发</w:t>
            </w:r>
          </w:p>
        </w:tc>
      </w:tr>
    </w:tbl>
    <w:p>
      <w:pPr>
        <w:rPr>
          <w:rFonts w:hint="eastAsia" w:ascii="方正小标宋_GBK" w:eastAsia="方正小标宋_GBK"/>
          <w:sz w:val="44"/>
          <w:szCs w:val="44"/>
        </w:rPr>
      </w:pPr>
      <w:r>
        <w:rPr>
          <w:rFonts w:hint="eastAsia" w:ascii="方正小标宋_GBK" w:eastAsia="方正小标宋_GBK"/>
          <w:sz w:val="44"/>
          <w:szCs w:val="44"/>
        </w:rPr>
        <w:br w:type="page"/>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rPr>
          <w:rFonts w:ascii="方正小标宋_GBK" w:eastAsia="方正小标宋_GBK"/>
          <w:sz w:val="44"/>
          <w:szCs w:val="44"/>
        </w:rPr>
      </w:pPr>
      <w:r>
        <w:rPr>
          <w:rFonts w:hint="eastAsia" w:ascii="方正小标宋_GBK" w:eastAsia="方正小标宋_GBK"/>
          <w:sz w:val="44"/>
          <w:szCs w:val="44"/>
        </w:rPr>
        <w:t>南通市江海健康扶贫基金管理办法</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rPr>
          <w:rFonts w:ascii="方正小标宋_GBK" w:eastAsia="方正小标宋_GBK"/>
          <w:sz w:val="44"/>
          <w:szCs w:val="44"/>
        </w:rPr>
      </w:pPr>
      <w:r>
        <w:rPr>
          <w:rFonts w:hint="eastAsia" w:ascii="方正小标宋_GBK" w:eastAsia="方正小标宋_GBK"/>
          <w:sz w:val="44"/>
          <w:szCs w:val="44"/>
        </w:rPr>
        <w:t>海安市实施方案（试行）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p>
    <w:p>
      <w:pPr>
        <w:keepNext w:val="0"/>
        <w:keepLines w:val="0"/>
        <w:pageBreakBefore w:val="0"/>
        <w:widowControl/>
        <w:kinsoku/>
        <w:wordWrap/>
        <w:overflowPunct/>
        <w:topLinePunct w:val="0"/>
        <w:autoSpaceDE/>
        <w:autoSpaceDN/>
        <w:bidi w:val="0"/>
        <w:adjustRightInd/>
        <w:snapToGrid/>
        <w:spacing w:before="313" w:beforeLines="100" w:after="313" w:afterLines="100" w:line="560" w:lineRule="exact"/>
        <w:ind w:left="0" w:leftChars="0" w:right="0" w:righ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第一条</w:t>
      </w:r>
      <w:r>
        <w:rPr>
          <w:rFonts w:hint="eastAsia" w:ascii="仿宋_GB2312" w:eastAsia="仿宋_GB2312"/>
          <w:sz w:val="32"/>
          <w:szCs w:val="32"/>
          <w:lang w:val="en-US" w:eastAsia="zh-CN"/>
        </w:rPr>
        <w:t xml:space="preserve">  </w:t>
      </w:r>
      <w:r>
        <w:rPr>
          <w:rFonts w:hint="eastAsia" w:ascii="仿宋_GB2312" w:eastAsia="仿宋_GB2312"/>
          <w:sz w:val="32"/>
          <w:szCs w:val="32"/>
        </w:rPr>
        <w:t>根据党中央、国务院脱贫攻坚决策部署，为充分发挥社会力量，提高建档立卡低收入人口医疗保障水平，最大程度减少救助对象医疗费用支出，南通市卫生健康委员会与南通市慈善总会设立江海健康扶贫基金（以下简称为 “基金”），根据《南通市江海健康扶贫基金管理办法（试行）》制定本实施方案。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第二条</w:t>
      </w:r>
      <w:r>
        <w:rPr>
          <w:rFonts w:hint="eastAsia" w:ascii="仿宋_GB2312" w:eastAsia="仿宋_GB2312"/>
          <w:sz w:val="32"/>
          <w:szCs w:val="32"/>
          <w:lang w:val="en-US" w:eastAsia="zh-CN"/>
        </w:rPr>
        <w:t xml:space="preserve">  </w:t>
      </w:r>
      <w:r>
        <w:rPr>
          <w:rFonts w:hint="eastAsia" w:ascii="仿宋_GB2312" w:eastAsia="仿宋_GB2312"/>
          <w:sz w:val="32"/>
          <w:szCs w:val="32"/>
        </w:rPr>
        <w:t>基金管理使用遵循精准救助、突出重点、统筹衔接、公平公开、高效便捷的原则。</w:t>
      </w:r>
    </w:p>
    <w:p>
      <w:pPr>
        <w:keepNext w:val="0"/>
        <w:keepLines w:val="0"/>
        <w:pageBreakBefore w:val="0"/>
        <w:widowControl/>
        <w:kinsoku/>
        <w:wordWrap/>
        <w:overflowPunct/>
        <w:topLinePunct w:val="0"/>
        <w:autoSpaceDE/>
        <w:autoSpaceDN/>
        <w:bidi w:val="0"/>
        <w:adjustRightInd/>
        <w:snapToGrid/>
        <w:spacing w:before="313" w:beforeLines="100" w:after="313" w:afterLines="100" w:line="560" w:lineRule="exact"/>
        <w:ind w:left="0" w:leftChars="0" w:right="0" w:righ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第二章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资金管理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第三条</w:t>
      </w:r>
      <w:r>
        <w:rPr>
          <w:rFonts w:hint="eastAsia" w:ascii="仿宋_GB2312" w:eastAsia="仿宋_GB2312"/>
          <w:sz w:val="32"/>
          <w:szCs w:val="32"/>
          <w:lang w:val="en-US" w:eastAsia="zh-CN"/>
        </w:rPr>
        <w:t xml:space="preserve">  </w:t>
      </w:r>
      <w:r>
        <w:rPr>
          <w:rFonts w:hint="eastAsia" w:ascii="仿宋_GB2312" w:eastAsia="仿宋_GB2312"/>
          <w:sz w:val="32"/>
          <w:szCs w:val="32"/>
        </w:rPr>
        <w:t>基金纳入南通市慈善总会统一管理，在南通市慈善总会专户下设立“江海健康扶贫基金”专用科目，专账核算，专款专用。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第四条</w:t>
      </w:r>
      <w:r>
        <w:rPr>
          <w:rFonts w:hint="eastAsia" w:ascii="仿宋_GB2312" w:eastAsia="仿宋_GB2312"/>
          <w:sz w:val="32"/>
          <w:szCs w:val="32"/>
          <w:lang w:val="en-US" w:eastAsia="zh-CN"/>
        </w:rPr>
        <w:t xml:space="preserve">  </w:t>
      </w:r>
      <w:r>
        <w:rPr>
          <w:rFonts w:hint="eastAsia" w:ascii="仿宋_GB2312" w:eastAsia="仿宋_GB2312"/>
          <w:sz w:val="32"/>
          <w:szCs w:val="32"/>
        </w:rPr>
        <w:t>严格按照规定的范围、标准和程序使用基金，未经南通市卫健委同意，任何单位与个人不得使用。不得平均分配发放给救助者；不得作为其他慈善救助资金来源；不得用于发放人员工作补贴及弥补单位公用经费支出不足等。</w:t>
      </w:r>
    </w:p>
    <w:p>
      <w:pPr>
        <w:keepNext w:val="0"/>
        <w:keepLines w:val="0"/>
        <w:pageBreakBefore w:val="0"/>
        <w:widowControl/>
        <w:kinsoku/>
        <w:wordWrap/>
        <w:overflowPunct/>
        <w:topLinePunct w:val="0"/>
        <w:autoSpaceDE/>
        <w:autoSpaceDN/>
        <w:bidi w:val="0"/>
        <w:adjustRightInd/>
        <w:snapToGrid/>
        <w:spacing w:before="313" w:beforeLines="100" w:after="313" w:afterLines="100" w:line="560" w:lineRule="exact"/>
        <w:ind w:left="0" w:leftChars="0" w:right="0" w:righ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第三章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救助对象及标准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第五条</w:t>
      </w:r>
      <w:r>
        <w:rPr>
          <w:rFonts w:hint="eastAsia" w:ascii="仿宋_GB2312" w:eastAsia="仿宋_GB2312"/>
          <w:sz w:val="32"/>
          <w:szCs w:val="32"/>
          <w:lang w:val="en-US" w:eastAsia="zh-CN"/>
        </w:rPr>
        <w:t xml:space="preserve">  </w:t>
      </w:r>
      <w:r>
        <w:rPr>
          <w:rFonts w:hint="eastAsia" w:ascii="仿宋_GB2312" w:eastAsia="仿宋_GB2312"/>
          <w:sz w:val="32"/>
          <w:szCs w:val="32"/>
        </w:rPr>
        <w:t>基金救助对象和区间：</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一）单次住院费用在基本医疗保险、大病保险、医疗救助、意外伤害及重大疾病商业保险、健康扶贫医疗补助及其他救助政策支付后，个人自付部分费用超过5000元的建档立卡低收入人口（已死亡闭户的除外）。</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（二）南通市卫健委认为可以列入救助的其他特殊对象。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（三）救助医疗费用区间为基金结报时间前一年度1月1日-12月31日（以结报截止期限前医保支付系统有记录的出院时间计）。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第六条</w:t>
      </w:r>
      <w:r>
        <w:rPr>
          <w:rFonts w:hint="eastAsia" w:ascii="仿宋_GB2312" w:eastAsia="仿宋_GB2312"/>
          <w:sz w:val="32"/>
          <w:szCs w:val="32"/>
          <w:lang w:val="en-US" w:eastAsia="zh-CN"/>
        </w:rPr>
        <w:t xml:space="preserve">  </w:t>
      </w:r>
      <w:r>
        <w:rPr>
          <w:rFonts w:hint="eastAsia" w:ascii="仿宋_GB2312" w:eastAsia="仿宋_GB2312"/>
          <w:sz w:val="32"/>
          <w:szCs w:val="32"/>
        </w:rPr>
        <w:t>下列对象不得列入救助范围：</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（一）不能提供有效收据或原始证明的；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（二）提供虚假证明或涂改、伪造原始单据的；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（三）故意隐瞒所享受的其他医疗救助政策或不配合工作人员核实情况的；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（四）违法犯罪、自杀、自残、打架斗殴、吸毒、酗酒和赌博等引发伤害的；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（五）意外事故、医疗事故、安全生产责任事故等经认定应由第三方承担赔偿责任的；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（六）变性、镶牙、美容整形等非疾病治疗的；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（七）法律、法规和政策规定的其他不适用于救助的情形。</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 xml:space="preserve">第七条 </w:t>
      </w:r>
      <w:r>
        <w:rPr>
          <w:rFonts w:hint="eastAsia" w:ascii="仿宋_GB2312" w:eastAsia="仿宋_GB2312"/>
          <w:sz w:val="32"/>
          <w:szCs w:val="32"/>
          <w:lang w:val="en-US" w:eastAsia="zh-CN"/>
        </w:rPr>
        <w:t xml:space="preserve"> </w:t>
      </w:r>
      <w:r>
        <w:rPr>
          <w:rFonts w:hint="eastAsia" w:ascii="仿宋_GB2312" w:eastAsia="仿宋_GB2312"/>
          <w:sz w:val="32"/>
          <w:szCs w:val="32"/>
        </w:rPr>
        <w:t>基金救助标准：救助对象由第三方专业服务平台（当前为“福村保”，以下简称为服务平台），根据国家卫健委CN-DRGs应用版，采取“大病病种重点补，同样病种同样补”的方法，按病种实施定额补助，单次住院及年度补助最高限额为5万元，且不超过个人支付金额90%。</w:t>
      </w:r>
    </w:p>
    <w:p>
      <w:pPr>
        <w:keepNext w:val="0"/>
        <w:keepLines w:val="0"/>
        <w:pageBreakBefore w:val="0"/>
        <w:widowControl/>
        <w:kinsoku/>
        <w:wordWrap/>
        <w:overflowPunct/>
        <w:topLinePunct w:val="0"/>
        <w:autoSpaceDE/>
        <w:autoSpaceDN/>
        <w:bidi w:val="0"/>
        <w:adjustRightInd/>
        <w:snapToGrid/>
        <w:spacing w:before="313" w:beforeLines="100" w:after="313" w:afterLines="100" w:line="560" w:lineRule="exact"/>
        <w:ind w:left="0" w:leftChars="0" w:right="0" w:righ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第四章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救助程序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第八条</w:t>
      </w:r>
      <w:r>
        <w:rPr>
          <w:rFonts w:hint="eastAsia" w:ascii="仿宋_GB2312" w:eastAsia="仿宋_GB2312"/>
          <w:sz w:val="32"/>
          <w:szCs w:val="32"/>
          <w:lang w:val="en-US" w:eastAsia="zh-CN"/>
        </w:rPr>
        <w:t xml:space="preserve">  </w:t>
      </w:r>
      <w:r>
        <w:rPr>
          <w:rFonts w:hint="eastAsia" w:ascii="仿宋_GB2312" w:eastAsia="仿宋_GB2312"/>
          <w:sz w:val="32"/>
          <w:szCs w:val="32"/>
        </w:rPr>
        <w:t>救助对象申请审核程序：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（一）对象确定：每年3月1日前由海安市卫健委通过海安市医保局和商业保险结算平台，筛选出符合条件的补助对象，将名单分发至各区镇，由各区镇分发至相应村卫生室。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二）对象公示：村卫生室会同村委会对人员生存状况和医疗费用、医疗救助/补助等情况进行核实，于每年3月5日前，形成汇总表，填写《南通市江海健康扶贫基金拟救助对象汇总公示表》（附件1），对非闭户救助对象的姓名、住院日期、住院费用、各类救助、个人支付费用等进行公示，公示时间不少于5个工作日。公示内容应当注意保护救助对象的隐私，不得公开详细病情等敏感信息。</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三）资料上传：每年3月10日前对无异议的对象，由村卫生室收集出院小结；费用清单；发票、帮扶手册、身份证、一折通（如存在委托的，需提供委托书、被委托人身份证、银行卡），由专人通过服务平台APP（二维码见附件2）扫描上传图片资料。村卫生室要为该批救助对象建立大病专项救治台账资料（属于30种大病的患者作出标识），做到一人一档。同一对象，多次住院需分不同批次上传。所有图像务必原图上传。村卫生室将村级《南通市江海健康扶贫救助信息汇总表》（附件3）审核盖章后连同电子档报各区镇，各区镇于每年3月15日前将区镇《南通市江海健康扶贫救助信息汇总表》审核盖章后连同电子档报海安市卫健委。</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四）资料审核：海安市卫健委医政科根据汇总表和APP上传资料进行比对审核，经财务审计部门确认，报负责人审批后，于每年3月20日前提交服务平台，并将《南通市江海健康扶贫救助信息汇总表》转发服务平台邮箱。</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五）平台认定：服务平台根据上传资料，认定人员病种。每年3月25日前，根据各县（市）区汇总转送的《南通市江海健康扶贫救助信息汇总表》，汇总个人支付总额，报送南通市卫健委确定年度补助资金预算；第三方专业服务平台根据南通市卫健委确定的补助资金预算，确定病种补助金额后，向南通市卫健委报送《南通市江海健康扶贫救助金额汇总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六）市级审定：南通市卫健委财务处对第三方专业服务平台认定的《南通市江海健康扶贫救助金额汇总表》进行审核，报经主要负责人同意后，交南通市慈善总会发放，并转县（市）、区卫健委、扶贫办备案，同时通过服务平台以短信方式告知救助对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（七）救助金发放：救助金按年度结算，一年发放一次，每年3月底前，由南通市慈善总会直接汇入受救助低收入人员银行账户，特殊情况可由本人申请汇入其委托人银行账户。</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第九条</w:t>
      </w:r>
      <w:r>
        <w:rPr>
          <w:rFonts w:hint="eastAsia" w:ascii="仿宋_GB2312" w:eastAsia="仿宋_GB2312"/>
          <w:sz w:val="32"/>
          <w:szCs w:val="32"/>
          <w:lang w:val="en-US" w:eastAsia="zh-CN"/>
        </w:rPr>
        <w:t xml:space="preserve">  </w:t>
      </w:r>
      <w:r>
        <w:rPr>
          <w:rFonts w:hint="eastAsia" w:ascii="仿宋_GB2312" w:eastAsia="仿宋_GB2312"/>
          <w:sz w:val="32"/>
          <w:szCs w:val="32"/>
        </w:rPr>
        <w:t>按照“规范、快捷、便民”的要求落实审查责任，缩短审批时间，保证审核质量。</w:t>
      </w:r>
    </w:p>
    <w:p>
      <w:pPr>
        <w:keepNext w:val="0"/>
        <w:keepLines w:val="0"/>
        <w:pageBreakBefore w:val="0"/>
        <w:widowControl/>
        <w:kinsoku/>
        <w:wordWrap/>
        <w:overflowPunct/>
        <w:topLinePunct w:val="0"/>
        <w:autoSpaceDE/>
        <w:autoSpaceDN/>
        <w:bidi w:val="0"/>
        <w:adjustRightInd/>
        <w:snapToGrid/>
        <w:spacing w:before="313" w:beforeLines="100" w:after="313" w:afterLines="100" w:line="560" w:lineRule="exact"/>
        <w:ind w:left="0" w:leftChars="0" w:right="0" w:righ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第五章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部门职责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 xml:space="preserve">第十条 </w:t>
      </w:r>
      <w:r>
        <w:rPr>
          <w:rFonts w:hint="eastAsia" w:ascii="仿宋_GB2312" w:eastAsia="仿宋_GB2312"/>
          <w:sz w:val="32"/>
          <w:szCs w:val="32"/>
          <w:lang w:val="en-US" w:eastAsia="zh-CN"/>
        </w:rPr>
        <w:t xml:space="preserve"> </w:t>
      </w:r>
      <w:r>
        <w:rPr>
          <w:rFonts w:hint="eastAsia" w:ascii="仿宋_GB2312" w:eastAsia="仿宋_GB2312"/>
          <w:sz w:val="32"/>
          <w:szCs w:val="32"/>
        </w:rPr>
        <w:t>建立江海健康扶贫救助工作联席会议制度，定期研究、解决相关问题，细化政策措施，明确进度安排，落实管理责任，强化督促检查，务求取得实效。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第十一条</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南通市卫健委负责江海健康扶贫基金使用管理的统筹协调，加大健康扶贫基金筹集力度，采取综合措施，促进定点医疗机构严格控制医药费用，认真落实“三合理”切实降低低收入患者自付费用。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 xml:space="preserve">第十二条 </w:t>
      </w:r>
      <w:r>
        <w:rPr>
          <w:rFonts w:hint="eastAsia" w:ascii="仿宋_GB2312" w:eastAsia="仿宋_GB2312"/>
          <w:sz w:val="32"/>
          <w:szCs w:val="32"/>
          <w:lang w:val="en-US" w:eastAsia="zh-CN"/>
        </w:rPr>
        <w:t xml:space="preserve"> </w:t>
      </w:r>
      <w:r>
        <w:rPr>
          <w:rFonts w:hint="eastAsia" w:ascii="仿宋_GB2312" w:eastAsia="仿宋_GB2312"/>
          <w:sz w:val="32"/>
          <w:szCs w:val="32"/>
        </w:rPr>
        <w:t>各定点医疗机构应当完善和落实诊疗规范和管理制度，控制低收入人口住院期间政策范围以外自费医疗费用，严格执行低收入患者住院“先诊疗后付费”制度。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 xml:space="preserve">第十三条 </w:t>
      </w:r>
      <w:r>
        <w:rPr>
          <w:rFonts w:hint="eastAsia" w:ascii="仿宋_GB2312" w:eastAsia="仿宋_GB2312"/>
          <w:sz w:val="32"/>
          <w:szCs w:val="32"/>
          <w:lang w:val="en-US" w:eastAsia="zh-CN"/>
        </w:rPr>
        <w:t xml:space="preserve"> </w:t>
      </w:r>
      <w:r>
        <w:rPr>
          <w:rFonts w:hint="eastAsia" w:ascii="仿宋_GB2312" w:eastAsia="仿宋_GB2312"/>
          <w:sz w:val="32"/>
          <w:szCs w:val="32"/>
        </w:rPr>
        <w:t>南通市慈善总会负责基金日常管理工作，确保基金及时准确发放到位。</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 xml:space="preserve">第十四条 </w:t>
      </w:r>
      <w:r>
        <w:rPr>
          <w:rFonts w:hint="eastAsia" w:ascii="仿宋_GB2312" w:eastAsia="仿宋_GB2312"/>
          <w:sz w:val="32"/>
          <w:szCs w:val="32"/>
          <w:lang w:val="en-US" w:eastAsia="zh-CN"/>
        </w:rPr>
        <w:t xml:space="preserve"> </w:t>
      </w:r>
      <w:r>
        <w:rPr>
          <w:rFonts w:hint="eastAsia" w:ascii="仿宋_GB2312" w:eastAsia="仿宋_GB2312"/>
          <w:sz w:val="32"/>
          <w:szCs w:val="32"/>
        </w:rPr>
        <w:t>各地、各部门要充分利用电视、广播、网络、报纸等媒介，广泛宣传江海健康扶贫基金救助的范围、标准、申请程序以及实施的目的、意义，动员社会各界踊跃捐款，增强救助对象健康扶贫的获得感。</w:t>
      </w:r>
    </w:p>
    <w:p>
      <w:pPr>
        <w:keepNext w:val="0"/>
        <w:keepLines w:val="0"/>
        <w:pageBreakBefore w:val="0"/>
        <w:widowControl/>
        <w:kinsoku/>
        <w:wordWrap/>
        <w:overflowPunct/>
        <w:topLinePunct w:val="0"/>
        <w:autoSpaceDE/>
        <w:autoSpaceDN/>
        <w:bidi w:val="0"/>
        <w:adjustRightInd/>
        <w:snapToGrid/>
        <w:spacing w:before="313" w:beforeLines="100" w:after="313" w:afterLines="100" w:line="560" w:lineRule="exact"/>
        <w:ind w:left="0" w:leftChars="0" w:right="0" w:righ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第六章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监督检查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第十五条</w:t>
      </w:r>
      <w:r>
        <w:rPr>
          <w:rFonts w:hint="eastAsia" w:ascii="仿宋_GB2312" w:eastAsia="仿宋_GB2312"/>
          <w:sz w:val="32"/>
          <w:szCs w:val="32"/>
          <w:lang w:val="en-US" w:eastAsia="zh-CN"/>
        </w:rPr>
        <w:t xml:space="preserve">  </w:t>
      </w:r>
      <w:r>
        <w:rPr>
          <w:rFonts w:hint="eastAsia" w:ascii="仿宋_GB2312" w:eastAsia="仿宋_GB2312"/>
          <w:sz w:val="32"/>
          <w:szCs w:val="32"/>
        </w:rPr>
        <w:t>任何单位和个人发现基金在使用和管理过程中有违规行为的，有权检举或者控告。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第十六条</w:t>
      </w:r>
      <w:r>
        <w:rPr>
          <w:rFonts w:hint="eastAsia" w:ascii="仿宋_GB2312" w:eastAsia="仿宋_GB2312"/>
          <w:sz w:val="32"/>
          <w:szCs w:val="32"/>
          <w:lang w:val="en-US" w:eastAsia="zh-CN"/>
        </w:rPr>
        <w:t xml:space="preserve">  </w:t>
      </w:r>
      <w:r>
        <w:rPr>
          <w:rFonts w:hint="eastAsia" w:ascii="仿宋_GB2312" w:eastAsia="仿宋_GB2312"/>
          <w:sz w:val="32"/>
          <w:szCs w:val="32"/>
        </w:rPr>
        <w:t>市卫健委、市扶贫办等部门定期组织督查，强化考核、及时通报工作进展。纪检、监察、财政、审计部门对基金的筹集、管理、使用情况进行监督审查，对违规违纪行为进行查处。涉嫌犯罪的，移送司法机关处理。</w:t>
      </w:r>
    </w:p>
    <w:p>
      <w:pPr>
        <w:keepNext w:val="0"/>
        <w:keepLines w:val="0"/>
        <w:pageBreakBefore w:val="0"/>
        <w:widowControl/>
        <w:kinsoku/>
        <w:wordWrap/>
        <w:overflowPunct/>
        <w:topLinePunct w:val="0"/>
        <w:autoSpaceDE/>
        <w:autoSpaceDN/>
        <w:bidi w:val="0"/>
        <w:adjustRightInd/>
        <w:snapToGrid/>
        <w:spacing w:before="313" w:beforeLines="100" w:after="313" w:afterLines="100" w:line="560" w:lineRule="exact"/>
        <w:ind w:left="0" w:leftChars="0" w:right="0" w:righ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第七章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附则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第十七条</w:t>
      </w:r>
      <w:r>
        <w:rPr>
          <w:rFonts w:hint="eastAsia" w:ascii="仿宋_GB2312" w:eastAsia="仿宋_GB2312"/>
          <w:sz w:val="32"/>
          <w:szCs w:val="32"/>
          <w:lang w:val="en-US" w:eastAsia="zh-CN"/>
        </w:rPr>
        <w:t xml:space="preserve">  </w:t>
      </w:r>
      <w:r>
        <w:rPr>
          <w:rFonts w:hint="eastAsia" w:ascii="仿宋_GB2312" w:eastAsia="仿宋_GB2312"/>
          <w:sz w:val="32"/>
          <w:szCs w:val="32"/>
        </w:rPr>
        <w:t>此为试行方案，后续将根据实施情况和基金运行情况对实施环节和实施时间作相应调整。</w:t>
      </w:r>
    </w:p>
    <w:p>
      <w:pPr>
        <w:widowControl/>
        <w:jc w:val="left"/>
        <w:rPr>
          <w:rFonts w:hint="eastAsia" w:ascii="仿宋_GB2312" w:eastAsia="仿宋_GB2312"/>
          <w:sz w:val="32"/>
          <w:szCs w:val="32"/>
        </w:rPr>
      </w:pPr>
    </w:p>
    <w:p>
      <w:pPr>
        <w:widowControl/>
        <w:jc w:val="left"/>
        <w:rPr>
          <w:rFonts w:hint="eastAsia" w:ascii="仿宋_GB2312" w:eastAsia="仿宋_GB2312"/>
          <w:sz w:val="32"/>
          <w:szCs w:val="32"/>
        </w:rPr>
        <w:sectPr>
          <w:footerReference r:id="rId3" w:type="default"/>
          <w:pgSz w:w="11906" w:h="16838"/>
          <w:pgMar w:top="1701" w:right="1701" w:bottom="1701" w:left="1701" w:header="851" w:footer="992" w:gutter="0"/>
          <w:pgNumType w:fmt="numberInDash"/>
          <w:cols w:space="425" w:num="1"/>
          <w:docGrid w:type="lines" w:linePitch="312" w:charSpace="0"/>
        </w:sectPr>
      </w:pPr>
    </w:p>
    <w:p>
      <w:pPr>
        <w:widowControl/>
        <w:ind w:left="0" w:leftChars="0" w:right="0" w:rightChars="0" w:firstLine="0" w:firstLineChars="0"/>
        <w:jc w:val="both"/>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eastAsia="zh-CN"/>
        </w:rPr>
        <w:t>附件</w:t>
      </w:r>
      <w:r>
        <w:rPr>
          <w:rFonts w:hint="eastAsia" w:ascii="黑体" w:hAnsi="黑体" w:eastAsia="黑体" w:cs="黑体"/>
          <w:color w:val="000000"/>
          <w:kern w:val="0"/>
          <w:sz w:val="32"/>
          <w:szCs w:val="32"/>
          <w:lang w:val="en-US" w:eastAsia="zh-CN"/>
        </w:rPr>
        <w:t>1：</w:t>
      </w:r>
    </w:p>
    <w:p>
      <w:pPr>
        <w:widowControl/>
        <w:ind w:left="0" w:leftChars="0" w:right="0" w:rightChars="0" w:firstLine="0" w:firstLineChars="0"/>
        <w:jc w:val="center"/>
        <w:rPr>
          <w:rFonts w:hint="eastAsia" w:ascii="方正大标宋_GBK" w:hAnsi="方正大标宋_GBK" w:eastAsia="方正大标宋_GBK" w:cs="方正大标宋_GBK"/>
          <w:color w:val="000000"/>
          <w:kern w:val="0"/>
          <w:sz w:val="40"/>
          <w:szCs w:val="40"/>
        </w:rPr>
      </w:pPr>
      <w:r>
        <w:rPr>
          <w:rFonts w:hint="eastAsia" w:ascii="方正大标宋_GBK" w:hAnsi="方正大标宋_GBK" w:eastAsia="方正大标宋_GBK" w:cs="方正大标宋_GBK"/>
          <w:color w:val="000000"/>
          <w:kern w:val="0"/>
          <w:sz w:val="40"/>
          <w:szCs w:val="40"/>
        </w:rPr>
        <w:t>南通市江海健康扶贫基金拟救助对象汇总公示表</w:t>
      </w:r>
    </w:p>
    <w:p>
      <w:pPr>
        <w:widowControl/>
        <w:jc w:val="left"/>
        <w:rPr>
          <w:rFonts w:ascii="宋体" w:hAnsi="宋体" w:eastAsia="宋体" w:cs="宋体"/>
          <w:color w:val="000000"/>
          <w:kern w:val="0"/>
          <w:sz w:val="22"/>
        </w:rPr>
      </w:pPr>
      <w:r>
        <w:rPr>
          <w:rFonts w:hint="eastAsia" w:ascii="楷体" w:hAnsi="楷体" w:eastAsia="楷体" w:cs="楷体"/>
          <w:color w:val="000000"/>
          <w:kern w:val="0"/>
          <w:sz w:val="28"/>
          <w:szCs w:val="28"/>
        </w:rPr>
        <w:t>填报机构名称:（盖章）</w:t>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宋体" w:hAnsi="宋体" w:eastAsia="宋体" w:cs="宋体"/>
          <w:color w:val="000000"/>
          <w:kern w:val="0"/>
          <w:sz w:val="22"/>
        </w:rPr>
        <w:tab/>
      </w:r>
    </w:p>
    <w:tbl>
      <w:tblPr>
        <w:tblStyle w:val="5"/>
        <w:tblW w:w="14173" w:type="dxa"/>
        <w:jc w:val="center"/>
        <w:tblLayout w:type="fixed"/>
        <w:tblCellMar>
          <w:top w:w="0" w:type="dxa"/>
          <w:left w:w="108" w:type="dxa"/>
          <w:bottom w:w="0" w:type="dxa"/>
          <w:right w:w="108" w:type="dxa"/>
        </w:tblCellMar>
      </w:tblPr>
      <w:tblGrid>
        <w:gridCol w:w="479"/>
        <w:gridCol w:w="680"/>
        <w:gridCol w:w="572"/>
        <w:gridCol w:w="572"/>
        <w:gridCol w:w="715"/>
        <w:gridCol w:w="1859"/>
        <w:gridCol w:w="715"/>
        <w:gridCol w:w="714"/>
        <w:gridCol w:w="1287"/>
        <w:gridCol w:w="1287"/>
        <w:gridCol w:w="1287"/>
        <w:gridCol w:w="1430"/>
        <w:gridCol w:w="1288"/>
        <w:gridCol w:w="1288"/>
      </w:tblGrid>
      <w:tr>
        <w:tblPrEx>
          <w:tblCellMar>
            <w:top w:w="0" w:type="dxa"/>
            <w:left w:w="108" w:type="dxa"/>
            <w:bottom w:w="0" w:type="dxa"/>
            <w:right w:w="108" w:type="dxa"/>
          </w:tblCellMar>
        </w:tblPrEx>
        <w:trPr>
          <w:trHeight w:val="567" w:hRule="atLeast"/>
          <w:jc w:val="center"/>
        </w:trPr>
        <w:tc>
          <w:tcPr>
            <w:tcW w:w="4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市</w:t>
            </w:r>
          </w:p>
        </w:tc>
        <w:tc>
          <w:tcPr>
            <w:tcW w:w="5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镇（区）</w:t>
            </w:r>
          </w:p>
        </w:tc>
        <w:tc>
          <w:tcPr>
            <w:tcW w:w="5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村（街道）</w:t>
            </w:r>
          </w:p>
        </w:tc>
        <w:tc>
          <w:tcPr>
            <w:tcW w:w="7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患者姓名</w:t>
            </w:r>
          </w:p>
        </w:tc>
        <w:tc>
          <w:tcPr>
            <w:tcW w:w="18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身份证</w:t>
            </w:r>
          </w:p>
        </w:tc>
        <w:tc>
          <w:tcPr>
            <w:tcW w:w="7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入院日期</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出院日期</w:t>
            </w:r>
          </w:p>
        </w:tc>
        <w:tc>
          <w:tcPr>
            <w:tcW w:w="12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住院总费用</w:t>
            </w:r>
          </w:p>
        </w:tc>
        <w:tc>
          <w:tcPr>
            <w:tcW w:w="12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基本医疗保险、大病保险、医疗救助</w:t>
            </w:r>
          </w:p>
        </w:tc>
        <w:tc>
          <w:tcPr>
            <w:tcW w:w="12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意外伤害及重大疾病等商业保险</w:t>
            </w:r>
          </w:p>
        </w:tc>
        <w:tc>
          <w:tcPr>
            <w:tcW w:w="14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健康扶贫医疗补助金额</w:t>
            </w:r>
          </w:p>
        </w:tc>
        <w:tc>
          <w:tcPr>
            <w:tcW w:w="12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其他救助</w:t>
            </w:r>
          </w:p>
        </w:tc>
        <w:tc>
          <w:tcPr>
            <w:tcW w:w="12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个人总支付金额</w:t>
            </w:r>
          </w:p>
        </w:tc>
      </w:tr>
      <w:tr>
        <w:tblPrEx>
          <w:tblCellMar>
            <w:top w:w="0" w:type="dxa"/>
            <w:left w:w="108" w:type="dxa"/>
            <w:bottom w:w="0" w:type="dxa"/>
            <w:right w:w="108" w:type="dxa"/>
          </w:tblCellMar>
        </w:tblPrEx>
        <w:trPr>
          <w:trHeight w:val="567" w:hRule="atLeast"/>
          <w:jc w:val="center"/>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6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4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567" w:hRule="atLeast"/>
          <w:jc w:val="center"/>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6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4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567" w:hRule="atLeast"/>
          <w:jc w:val="center"/>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6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4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567" w:hRule="atLeast"/>
          <w:jc w:val="center"/>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6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71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4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567" w:hRule="atLeast"/>
          <w:jc w:val="center"/>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4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r>
      <w:tr>
        <w:tblPrEx>
          <w:tblCellMar>
            <w:top w:w="0" w:type="dxa"/>
            <w:left w:w="108" w:type="dxa"/>
            <w:bottom w:w="0" w:type="dxa"/>
            <w:right w:w="108" w:type="dxa"/>
          </w:tblCellMar>
        </w:tblPrEx>
        <w:trPr>
          <w:trHeight w:val="567" w:hRule="atLeast"/>
          <w:jc w:val="center"/>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4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r>
      <w:tr>
        <w:tblPrEx>
          <w:tblCellMar>
            <w:top w:w="0" w:type="dxa"/>
            <w:left w:w="108" w:type="dxa"/>
            <w:bottom w:w="0" w:type="dxa"/>
            <w:right w:w="108" w:type="dxa"/>
          </w:tblCellMar>
        </w:tblPrEx>
        <w:trPr>
          <w:trHeight w:val="567" w:hRule="atLeast"/>
          <w:jc w:val="center"/>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6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7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4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r>
    </w:tbl>
    <w:p>
      <w:pPr>
        <w:ind w:firstLine="840" w:firstLineChars="300"/>
        <w:rPr>
          <w:rFonts w:ascii="仿宋_GB2312" w:eastAsia="仿宋_GB2312"/>
          <w:sz w:val="28"/>
          <w:szCs w:val="28"/>
        </w:rPr>
        <w:sectPr>
          <w:pgSz w:w="16838" w:h="11906" w:orient="landscape"/>
          <w:pgMar w:top="1797" w:right="1440" w:bottom="1797" w:left="1440" w:header="851" w:footer="992" w:gutter="0"/>
          <w:pgNumType w:fmt="numberInDash"/>
          <w:cols w:space="425" w:num="1"/>
          <w:docGrid w:type="linesAndChars" w:linePitch="312" w:charSpace="0"/>
        </w:sectPr>
      </w:pPr>
      <w:r>
        <w:rPr>
          <w:rFonts w:hint="eastAsia" w:ascii="仿宋_GB2312" w:eastAsia="仿宋_GB2312"/>
          <w:sz w:val="28"/>
          <w:szCs w:val="28"/>
        </w:rPr>
        <w:t>机构负责人：</w:t>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lang w:val="en-US" w:eastAsia="zh-CN"/>
        </w:rPr>
        <w:t xml:space="preserve">                              </w:t>
      </w:r>
      <w:r>
        <w:rPr>
          <w:rFonts w:hint="eastAsia" w:ascii="仿宋_GB2312" w:eastAsia="仿宋_GB2312"/>
          <w:sz w:val="28"/>
          <w:szCs w:val="28"/>
        </w:rPr>
        <w:t>填报人：</w:t>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p>
    <w:p>
      <w:pPr>
        <w:rPr>
          <w:rFonts w:hint="eastAsia" w:ascii="黑体" w:hAnsi="黑体" w:eastAsia="黑体" w:cs="黑体"/>
          <w:sz w:val="32"/>
          <w:szCs w:val="32"/>
        </w:rPr>
      </w:pPr>
      <w:r>
        <w:rPr>
          <w:rFonts w:hint="eastAsia" w:ascii="黑体" w:hAnsi="黑体" w:eastAsia="黑体" w:cs="黑体"/>
          <w:sz w:val="28"/>
          <w:szCs w:val="28"/>
        </w:rPr>
        <w:t>附件2</w:t>
      </w:r>
      <w:r>
        <w:rPr>
          <w:rFonts w:hint="eastAsia" w:ascii="黑体" w:hAnsi="黑体" w:eastAsia="黑体" w:cs="黑体"/>
          <w:sz w:val="32"/>
          <w:szCs w:val="32"/>
        </w:rPr>
        <w:t>：</w:t>
      </w:r>
    </w:p>
    <w:p>
      <w:pPr>
        <w:ind w:firstLine="640"/>
        <w:rPr>
          <w:rFonts w:ascii="仿宋_GB2312" w:eastAsia="仿宋_GB2312"/>
          <w:sz w:val="32"/>
          <w:szCs w:val="32"/>
        </w:rPr>
      </w:pPr>
    </w:p>
    <w:p>
      <w:pPr>
        <w:ind w:firstLine="640"/>
        <w:rPr>
          <w:rFonts w:ascii="仿宋_GB2312" w:eastAsia="仿宋_GB2312"/>
          <w:sz w:val="32"/>
          <w:szCs w:val="32"/>
        </w:rPr>
      </w:pPr>
    </w:p>
    <w:p>
      <w:pPr>
        <w:ind w:firstLine="640"/>
        <w:rPr>
          <w:rFonts w:ascii="仿宋_GB2312" w:eastAsia="仿宋_GB2312"/>
          <w:sz w:val="32"/>
          <w:szCs w:val="32"/>
        </w:rPr>
      </w:pPr>
    </w:p>
    <w:p>
      <w:pPr>
        <w:ind w:firstLine="640"/>
        <w:rPr>
          <w:rFonts w:ascii="仿宋_GB2312" w:eastAsia="仿宋_GB2312"/>
          <w:sz w:val="32"/>
          <w:szCs w:val="32"/>
        </w:rPr>
      </w:pPr>
    </w:p>
    <w:p>
      <w:pPr>
        <w:ind w:firstLine="640"/>
        <w:rPr>
          <w:rFonts w:ascii="仿宋_GB2312" w:eastAsia="仿宋_GB2312"/>
          <w:sz w:val="32"/>
          <w:szCs w:val="32"/>
        </w:rPr>
      </w:pPr>
      <w:r>
        <w:rPr>
          <w:rFonts w:ascii="仿宋_GB2312" w:eastAsia="仿宋_GB2312"/>
          <w:sz w:val="32"/>
          <w:szCs w:val="32"/>
        </w:rPr>
        <w:drawing>
          <wp:inline distT="0" distB="0" distL="0" distR="0">
            <wp:extent cx="4377055" cy="4326255"/>
            <wp:effectExtent l="0" t="0" r="4445" b="0"/>
            <wp:docPr id="1" name="图片 1" descr="C:\Users\我的电脑\AppData\Local\Temp\158356490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我的电脑\AppData\Local\Temp\1583564909(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377055" cy="4326255"/>
                    </a:xfrm>
                    <a:prstGeom prst="rect">
                      <a:avLst/>
                    </a:prstGeom>
                    <a:noFill/>
                    <a:ln>
                      <a:noFill/>
                    </a:ln>
                  </pic:spPr>
                </pic:pic>
              </a:graphicData>
            </a:graphic>
          </wp:inline>
        </w:drawing>
      </w:r>
    </w:p>
    <w:p>
      <w:pPr>
        <w:ind w:firstLine="640"/>
        <w:rPr>
          <w:rFonts w:ascii="仿宋_GB2312" w:eastAsia="仿宋_GB2312"/>
          <w:sz w:val="32"/>
          <w:szCs w:val="32"/>
        </w:rPr>
      </w:pPr>
    </w:p>
    <w:p>
      <w:pPr>
        <w:ind w:firstLine="640"/>
        <w:rPr>
          <w:rFonts w:ascii="仿宋_GB2312" w:eastAsia="仿宋_GB2312"/>
          <w:sz w:val="32"/>
          <w:szCs w:val="32"/>
        </w:rPr>
      </w:pPr>
    </w:p>
    <w:p>
      <w:pPr>
        <w:ind w:firstLine="640"/>
        <w:rPr>
          <w:rFonts w:ascii="仿宋_GB2312" w:eastAsia="仿宋_GB2312"/>
          <w:sz w:val="32"/>
          <w:szCs w:val="32"/>
        </w:rPr>
      </w:pPr>
    </w:p>
    <w:p>
      <w:pPr>
        <w:ind w:firstLine="640"/>
        <w:rPr>
          <w:rFonts w:ascii="仿宋_GB2312" w:eastAsia="仿宋_GB2312"/>
          <w:sz w:val="32"/>
          <w:szCs w:val="32"/>
        </w:rPr>
      </w:pPr>
    </w:p>
    <w:p>
      <w:pPr>
        <w:ind w:firstLine="640"/>
        <w:rPr>
          <w:rFonts w:ascii="仿宋_GB2312" w:eastAsia="仿宋_GB2312"/>
          <w:sz w:val="32"/>
          <w:szCs w:val="32"/>
        </w:rPr>
      </w:pPr>
    </w:p>
    <w:p>
      <w:pPr>
        <w:rPr>
          <w:rFonts w:ascii="仿宋_GB2312" w:eastAsia="仿宋_GB2312"/>
          <w:sz w:val="32"/>
          <w:szCs w:val="32"/>
        </w:rPr>
        <w:sectPr>
          <w:pgSz w:w="11906" w:h="16838"/>
          <w:pgMar w:top="1440" w:right="1800" w:bottom="1440" w:left="1800" w:header="851" w:footer="992" w:gutter="0"/>
          <w:pgNumType w:fmt="numberInDash"/>
          <w:cols w:space="425" w:num="1"/>
          <w:docGrid w:type="lines" w:linePitch="312" w:charSpace="0"/>
        </w:sectPr>
      </w:pPr>
    </w:p>
    <w:p>
      <w:pPr>
        <w:widowControl/>
        <w:jc w:val="left"/>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附件3：</w:t>
      </w:r>
    </w:p>
    <w:p>
      <w:pPr>
        <w:widowControl/>
        <w:jc w:val="center"/>
        <w:rPr>
          <w:rFonts w:hint="eastAsia" w:ascii="方正大标宋_GBK" w:hAnsi="方正大标宋_GBK" w:eastAsia="方正大标宋_GBK" w:cs="方正大标宋_GBK"/>
          <w:color w:val="000000"/>
          <w:kern w:val="0"/>
          <w:sz w:val="40"/>
          <w:szCs w:val="40"/>
        </w:rPr>
      </w:pPr>
      <w:r>
        <w:rPr>
          <w:rFonts w:hint="eastAsia" w:ascii="方正大标宋_GBK" w:hAnsi="方正大标宋_GBK" w:eastAsia="方正大标宋_GBK" w:cs="方正大标宋_GBK"/>
          <w:color w:val="000000"/>
          <w:kern w:val="0"/>
          <w:sz w:val="40"/>
          <w:szCs w:val="40"/>
        </w:rPr>
        <w:t>南通市江海健康扶贫救助信息汇总表</w:t>
      </w:r>
    </w:p>
    <w:p>
      <w:pPr>
        <w:widowControl/>
        <w:jc w:val="left"/>
        <w:rPr>
          <w:rFonts w:cs="宋体" w:asciiTheme="minorEastAsia" w:hAnsiTheme="minorEastAsia"/>
          <w:color w:val="000000"/>
          <w:kern w:val="0"/>
          <w:sz w:val="36"/>
          <w:szCs w:val="36"/>
        </w:rPr>
      </w:pPr>
      <w:r>
        <w:rPr>
          <w:rFonts w:hint="eastAsia" w:cs="宋体" w:asciiTheme="minorEastAsia" w:hAnsiTheme="minorEastAsia"/>
          <w:color w:val="000000"/>
          <w:kern w:val="0"/>
          <w:sz w:val="36"/>
          <w:szCs w:val="36"/>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填报机构名称:（盖章）</w:t>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lang w:val="en-US" w:eastAsia="zh-CN"/>
        </w:rPr>
        <w:t xml:space="preserve">  </w:t>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rPr>
        <w:tab/>
      </w:r>
      <w:r>
        <w:rPr>
          <w:rFonts w:hint="eastAsia" w:ascii="楷体" w:hAnsi="楷体" w:eastAsia="楷体" w:cs="楷体"/>
          <w:color w:val="000000"/>
          <w:kern w:val="0"/>
          <w:sz w:val="28"/>
          <w:szCs w:val="28"/>
          <w:lang w:val="en-US" w:eastAsia="zh-CN"/>
        </w:rPr>
        <w:t xml:space="preserve">                         </w:t>
      </w:r>
      <w:r>
        <w:rPr>
          <w:rFonts w:hint="eastAsia" w:ascii="楷体" w:hAnsi="楷体" w:eastAsia="楷体" w:cs="楷体"/>
          <w:color w:val="000000"/>
          <w:kern w:val="0"/>
          <w:sz w:val="28"/>
          <w:szCs w:val="28"/>
        </w:rPr>
        <w:t>单位：元</w:t>
      </w:r>
      <w:r>
        <w:rPr>
          <w:rFonts w:hint="eastAsia" w:ascii="楷体" w:hAnsi="楷体" w:eastAsia="楷体" w:cs="楷体"/>
          <w:color w:val="000000"/>
          <w:kern w:val="0"/>
          <w:sz w:val="28"/>
          <w:szCs w:val="28"/>
        </w:rPr>
        <w:tab/>
      </w:r>
    </w:p>
    <w:tbl>
      <w:tblPr>
        <w:tblStyle w:val="5"/>
        <w:tblW w:w="14049" w:type="dxa"/>
        <w:tblInd w:w="93" w:type="dxa"/>
        <w:tblLayout w:type="fixed"/>
        <w:tblCellMar>
          <w:top w:w="0" w:type="dxa"/>
          <w:left w:w="108" w:type="dxa"/>
          <w:bottom w:w="0" w:type="dxa"/>
          <w:right w:w="108" w:type="dxa"/>
        </w:tblCellMar>
      </w:tblPr>
      <w:tblGrid>
        <w:gridCol w:w="475"/>
        <w:gridCol w:w="464"/>
        <w:gridCol w:w="464"/>
        <w:gridCol w:w="464"/>
        <w:gridCol w:w="563"/>
        <w:gridCol w:w="956"/>
        <w:gridCol w:w="858"/>
        <w:gridCol w:w="858"/>
        <w:gridCol w:w="858"/>
        <w:gridCol w:w="858"/>
        <w:gridCol w:w="858"/>
        <w:gridCol w:w="858"/>
        <w:gridCol w:w="858"/>
        <w:gridCol w:w="858"/>
        <w:gridCol w:w="858"/>
        <w:gridCol w:w="858"/>
        <w:gridCol w:w="1225"/>
        <w:gridCol w:w="858"/>
      </w:tblGrid>
      <w:tr>
        <w:tblPrEx>
          <w:tblCellMar>
            <w:top w:w="0" w:type="dxa"/>
            <w:left w:w="108" w:type="dxa"/>
            <w:bottom w:w="0" w:type="dxa"/>
            <w:right w:w="108" w:type="dxa"/>
          </w:tblCellMar>
        </w:tblPrEx>
        <w:trPr>
          <w:trHeight w:val="1680" w:hRule="atLeast"/>
        </w:trPr>
        <w:tc>
          <w:tcPr>
            <w:tcW w:w="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4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市</w:t>
            </w:r>
          </w:p>
        </w:tc>
        <w:tc>
          <w:tcPr>
            <w:tcW w:w="4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镇（区）</w:t>
            </w:r>
          </w:p>
        </w:tc>
        <w:tc>
          <w:tcPr>
            <w:tcW w:w="4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村（街道）</w:t>
            </w:r>
          </w:p>
        </w:tc>
        <w:tc>
          <w:tcPr>
            <w:tcW w:w="56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患者姓名</w:t>
            </w:r>
          </w:p>
        </w:tc>
        <w:tc>
          <w:tcPr>
            <w:tcW w:w="9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身份证</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入院日期</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出院日期</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住院总费用</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基本医疗保险、大病保险、医疗救助</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意外伤害及重大疾病等商业保险</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健康扶贫医疗补助金额</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其他救助</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个人总支付金额</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患者/受委托人银行卡姓名</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开户行</w:t>
            </w:r>
          </w:p>
        </w:tc>
        <w:tc>
          <w:tcPr>
            <w:tcW w:w="12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银行卡</w:t>
            </w:r>
          </w:p>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卡号（一折通）</w:t>
            </w:r>
          </w:p>
        </w:tc>
        <w:tc>
          <w:tcPr>
            <w:tcW w:w="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联系电话</w:t>
            </w:r>
          </w:p>
        </w:tc>
      </w:tr>
      <w:tr>
        <w:tblPrEx>
          <w:tblCellMar>
            <w:top w:w="0" w:type="dxa"/>
            <w:left w:w="108" w:type="dxa"/>
            <w:bottom w:w="0" w:type="dxa"/>
            <w:right w:w="108" w:type="dxa"/>
          </w:tblCellMar>
        </w:tblPrEx>
        <w:trPr>
          <w:trHeight w:val="500" w:hRule="atLeast"/>
        </w:trPr>
        <w:tc>
          <w:tcPr>
            <w:tcW w:w="47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9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500" w:hRule="atLeast"/>
        </w:trPr>
        <w:tc>
          <w:tcPr>
            <w:tcW w:w="47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9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500" w:hRule="atLeast"/>
        </w:trPr>
        <w:tc>
          <w:tcPr>
            <w:tcW w:w="47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9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500" w:hRule="atLeast"/>
        </w:trPr>
        <w:tc>
          <w:tcPr>
            <w:tcW w:w="47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9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2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500" w:hRule="atLeast"/>
        </w:trPr>
        <w:tc>
          <w:tcPr>
            <w:tcW w:w="47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4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9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12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c>
          <w:tcPr>
            <w:tcW w:w="8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p>
        </w:tc>
      </w:tr>
    </w:tbl>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仿宋_GB2312" w:eastAsia="仿宋_GB2312"/>
          <w:sz w:val="28"/>
          <w:szCs w:val="28"/>
        </w:rPr>
      </w:pPr>
      <w:r>
        <w:rPr>
          <w:rFonts w:hint="eastAsia" w:ascii="仿宋_GB2312" w:eastAsia="仿宋_GB2312"/>
          <w:sz w:val="28"/>
          <w:szCs w:val="28"/>
        </w:rPr>
        <w:t>机构负责人：</w:t>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lang w:val="en-US" w:eastAsia="zh-CN"/>
        </w:rPr>
        <w:t xml:space="preserve">       </w:t>
      </w:r>
      <w:r>
        <w:rPr>
          <w:rFonts w:hint="eastAsia" w:ascii="仿宋_GB2312" w:eastAsia="仿宋_GB2312"/>
          <w:sz w:val="28"/>
          <w:szCs w:val="28"/>
        </w:rPr>
        <w:tab/>
      </w:r>
      <w:r>
        <w:rPr>
          <w:rFonts w:hint="eastAsia" w:ascii="仿宋_GB2312" w:eastAsia="仿宋_GB2312"/>
          <w:sz w:val="28"/>
          <w:szCs w:val="28"/>
        </w:rPr>
        <w:t>填报人：</w:t>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lang w:val="en-US" w:eastAsia="zh-CN"/>
        </w:rPr>
        <w:t xml:space="preserve">               </w:t>
      </w:r>
      <w:r>
        <w:rPr>
          <w:rFonts w:hint="eastAsia" w:ascii="仿宋_GB2312" w:eastAsia="仿宋_GB2312"/>
          <w:sz w:val="28"/>
          <w:szCs w:val="28"/>
        </w:rPr>
        <w:tab/>
      </w:r>
      <w:r>
        <w:rPr>
          <w:rFonts w:hint="eastAsia" w:ascii="仿宋_GB2312" w:eastAsia="仿宋_GB2312"/>
          <w:sz w:val="28"/>
          <w:szCs w:val="28"/>
        </w:rPr>
        <w:t>联系电话：</w:t>
      </w:r>
      <w:r>
        <w:rPr>
          <w:rFonts w:hint="eastAsia" w:ascii="仿宋_GB2312" w:eastAsia="仿宋_GB2312"/>
          <w:sz w:val="28"/>
          <w:szCs w:val="28"/>
        </w:rPr>
        <w:tab/>
      </w:r>
      <w:r>
        <w:rPr>
          <w:rFonts w:hint="eastAsia" w:ascii="仿宋_GB2312" w:eastAsia="仿宋_GB2312"/>
          <w:sz w:val="28"/>
          <w:szCs w:val="28"/>
        </w:rPr>
        <w:tab/>
      </w: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ascii="仿宋_GB2312" w:eastAsia="仿宋_GB2312"/>
          <w:sz w:val="28"/>
          <w:szCs w:val="28"/>
        </w:rPr>
      </w:pPr>
      <w:r>
        <w:rPr>
          <w:rFonts w:hint="eastAsia" w:ascii="仿宋_GB2312" w:eastAsia="仿宋_GB2312"/>
          <w:sz w:val="28"/>
          <w:szCs w:val="28"/>
        </w:rPr>
        <w:t>负责人：</w:t>
      </w:r>
      <w:r>
        <w:rPr>
          <w:rFonts w:hint="eastAsia" w:ascii="仿宋_GB2312" w:eastAsia="仿宋_GB2312"/>
          <w:sz w:val="28"/>
          <w:szCs w:val="28"/>
        </w:rPr>
        <w:tab/>
      </w:r>
      <w:r>
        <w:rPr>
          <w:rFonts w:hint="eastAsia" w:ascii="仿宋_GB2312" w:eastAsia="仿宋_GB2312"/>
          <w:sz w:val="28"/>
          <w:szCs w:val="28"/>
        </w:rPr>
        <w:tab/>
      </w:r>
      <w:r>
        <w:rPr>
          <w:rFonts w:hint="eastAsia" w:ascii="仿宋_GB2312" w:eastAsia="仿宋_GB2312"/>
          <w:sz w:val="28"/>
          <w:szCs w:val="28"/>
          <w:lang w:val="en-US" w:eastAsia="zh-CN"/>
        </w:rPr>
        <w:t xml:space="preserve">     </w:t>
      </w:r>
      <w:r>
        <w:rPr>
          <w:rFonts w:hint="eastAsia" w:ascii="仿宋_GB2312" w:eastAsia="仿宋_GB2312"/>
          <w:sz w:val="28"/>
          <w:szCs w:val="28"/>
        </w:rPr>
        <w:t>海安市卫健委财务科：</w:t>
      </w:r>
      <w:r>
        <w:rPr>
          <w:rFonts w:hint="eastAsia" w:ascii="仿宋_GB2312" w:eastAsia="仿宋_GB2312"/>
          <w:sz w:val="28"/>
          <w:szCs w:val="28"/>
        </w:rPr>
        <w:tab/>
      </w:r>
      <w:r>
        <w:rPr>
          <w:rFonts w:hint="eastAsia" w:ascii="仿宋_GB2312" w:eastAsia="仿宋_GB2312"/>
          <w:sz w:val="28"/>
          <w:szCs w:val="28"/>
          <w:lang w:val="en-US" w:eastAsia="zh-CN"/>
        </w:rPr>
        <w:t xml:space="preserve">     </w:t>
      </w:r>
      <w:r>
        <w:rPr>
          <w:rFonts w:hint="eastAsia" w:ascii="仿宋_GB2312" w:eastAsia="仿宋_GB2312"/>
          <w:sz w:val="28"/>
          <w:szCs w:val="28"/>
        </w:rPr>
        <w:tab/>
      </w:r>
      <w:r>
        <w:rPr>
          <w:rFonts w:hint="eastAsia" w:ascii="仿宋_GB2312" w:eastAsia="仿宋_GB2312"/>
          <w:sz w:val="28"/>
          <w:szCs w:val="28"/>
        </w:rPr>
        <w:t>海安市卫健委医政医管科：</w:t>
      </w:r>
      <w:r>
        <w:rPr>
          <w:rFonts w:hint="eastAsia" w:ascii="仿宋_GB2312" w:eastAsia="仿宋_GB2312"/>
          <w:sz w:val="28"/>
          <w:szCs w:val="28"/>
        </w:rPr>
        <w:tab/>
      </w:r>
      <w:r>
        <w:rPr>
          <w:rFonts w:hint="eastAsia" w:ascii="仿宋_GB2312" w:eastAsia="仿宋_GB2312"/>
          <w:sz w:val="28"/>
          <w:szCs w:val="28"/>
          <w:lang w:val="en-US" w:eastAsia="zh-CN"/>
        </w:rPr>
        <w:t xml:space="preserve">   </w:t>
      </w:r>
      <w:r>
        <w:rPr>
          <w:rFonts w:hint="eastAsia" w:ascii="仿宋_GB2312" w:eastAsia="仿宋_GB2312"/>
          <w:sz w:val="28"/>
          <w:szCs w:val="28"/>
        </w:rPr>
        <w:tab/>
      </w:r>
      <w:r>
        <w:rPr>
          <w:rFonts w:hint="eastAsia" w:ascii="仿宋_GB2312" w:eastAsia="仿宋_GB2312"/>
          <w:sz w:val="28"/>
          <w:szCs w:val="28"/>
        </w:rPr>
        <w:t>镇（区）审核：</w:t>
      </w:r>
      <w:r>
        <w:rPr>
          <w:rFonts w:hint="eastAsia" w:ascii="仿宋_GB2312" w:eastAsia="仿宋_GB2312"/>
          <w:sz w:val="28"/>
          <w:szCs w:val="28"/>
        </w:rPr>
        <w:tab/>
      </w:r>
      <w:r>
        <w:rPr>
          <w:rFonts w:hint="eastAsia" w:ascii="仿宋_GB2312" w:eastAsia="仿宋_GB2312"/>
          <w:sz w:val="28"/>
          <w:szCs w:val="28"/>
        </w:rPr>
        <w:tab/>
      </w:r>
    </w:p>
    <w:sectPr>
      <w:pgSz w:w="16838" w:h="11906" w:orient="landscape"/>
      <w:pgMar w:top="1797" w:right="1440" w:bottom="1797" w:left="1440"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大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LNJWO7QAAAABQEAAA8AAAAAAAAA&#10;AQAgAAAAIgAAAGRycy9kb3ducmV2LnhtbFBLAQIUABQAAAAIAIdO4kDixEvZxAIAANYFAAAOAAAA&#10;AAAAAAEAIAAAAB8BAABkcnMvZTJvRG9jLnhtbFBLBQYAAAAABgAGAFkBAABVBg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AF9"/>
    <w:rsid w:val="0000367E"/>
    <w:rsid w:val="000232D6"/>
    <w:rsid w:val="00061B95"/>
    <w:rsid w:val="00072C75"/>
    <w:rsid w:val="00073E29"/>
    <w:rsid w:val="000762D6"/>
    <w:rsid w:val="00077D95"/>
    <w:rsid w:val="00084EC5"/>
    <w:rsid w:val="000906BB"/>
    <w:rsid w:val="000C0AED"/>
    <w:rsid w:val="000D5BAB"/>
    <w:rsid w:val="000E19C1"/>
    <w:rsid w:val="00112265"/>
    <w:rsid w:val="00152DDF"/>
    <w:rsid w:val="00156CC1"/>
    <w:rsid w:val="00170C6D"/>
    <w:rsid w:val="001A15A4"/>
    <w:rsid w:val="001A23F3"/>
    <w:rsid w:val="001D282F"/>
    <w:rsid w:val="001D5F0A"/>
    <w:rsid w:val="001E7771"/>
    <w:rsid w:val="002238D3"/>
    <w:rsid w:val="0022558D"/>
    <w:rsid w:val="002318CA"/>
    <w:rsid w:val="00233897"/>
    <w:rsid w:val="00256C22"/>
    <w:rsid w:val="00277B1D"/>
    <w:rsid w:val="002C5D70"/>
    <w:rsid w:val="00323482"/>
    <w:rsid w:val="0035678D"/>
    <w:rsid w:val="00362E6B"/>
    <w:rsid w:val="003A7A63"/>
    <w:rsid w:val="003C6A97"/>
    <w:rsid w:val="0043295B"/>
    <w:rsid w:val="00446160"/>
    <w:rsid w:val="00453B85"/>
    <w:rsid w:val="00470CEE"/>
    <w:rsid w:val="00482755"/>
    <w:rsid w:val="00485CCD"/>
    <w:rsid w:val="00490F0F"/>
    <w:rsid w:val="004E2C8D"/>
    <w:rsid w:val="004F5B10"/>
    <w:rsid w:val="004F7C63"/>
    <w:rsid w:val="005158D9"/>
    <w:rsid w:val="0052099C"/>
    <w:rsid w:val="005451AC"/>
    <w:rsid w:val="00545223"/>
    <w:rsid w:val="00564887"/>
    <w:rsid w:val="00586C6D"/>
    <w:rsid w:val="0059428E"/>
    <w:rsid w:val="005A7D6E"/>
    <w:rsid w:val="005B0AF9"/>
    <w:rsid w:val="005E52F6"/>
    <w:rsid w:val="005F2991"/>
    <w:rsid w:val="00605C01"/>
    <w:rsid w:val="006326D1"/>
    <w:rsid w:val="006454B1"/>
    <w:rsid w:val="00684BD4"/>
    <w:rsid w:val="00686BF9"/>
    <w:rsid w:val="006A52FC"/>
    <w:rsid w:val="007037B4"/>
    <w:rsid w:val="0070673A"/>
    <w:rsid w:val="0071074A"/>
    <w:rsid w:val="007460D6"/>
    <w:rsid w:val="007603BA"/>
    <w:rsid w:val="00780963"/>
    <w:rsid w:val="007B2141"/>
    <w:rsid w:val="007E6852"/>
    <w:rsid w:val="007E7915"/>
    <w:rsid w:val="00800056"/>
    <w:rsid w:val="00806518"/>
    <w:rsid w:val="0083174B"/>
    <w:rsid w:val="00831DC3"/>
    <w:rsid w:val="008436DF"/>
    <w:rsid w:val="008712FE"/>
    <w:rsid w:val="00885ED9"/>
    <w:rsid w:val="008A21C5"/>
    <w:rsid w:val="008A716E"/>
    <w:rsid w:val="008D00FF"/>
    <w:rsid w:val="008E337A"/>
    <w:rsid w:val="008F5E9E"/>
    <w:rsid w:val="009219B6"/>
    <w:rsid w:val="00925899"/>
    <w:rsid w:val="009367F9"/>
    <w:rsid w:val="0095119A"/>
    <w:rsid w:val="00974FBC"/>
    <w:rsid w:val="0097615D"/>
    <w:rsid w:val="00981211"/>
    <w:rsid w:val="009B4401"/>
    <w:rsid w:val="009E1DDD"/>
    <w:rsid w:val="009F6BC4"/>
    <w:rsid w:val="00A0741C"/>
    <w:rsid w:val="00A534FA"/>
    <w:rsid w:val="00A57597"/>
    <w:rsid w:val="00A6300E"/>
    <w:rsid w:val="00AA0CC1"/>
    <w:rsid w:val="00AE17BA"/>
    <w:rsid w:val="00AF05A2"/>
    <w:rsid w:val="00B008D9"/>
    <w:rsid w:val="00B05818"/>
    <w:rsid w:val="00B154A9"/>
    <w:rsid w:val="00B258B4"/>
    <w:rsid w:val="00B4217D"/>
    <w:rsid w:val="00BD0F3E"/>
    <w:rsid w:val="00C02CA5"/>
    <w:rsid w:val="00C1422C"/>
    <w:rsid w:val="00C526AA"/>
    <w:rsid w:val="00C57F8D"/>
    <w:rsid w:val="00C72479"/>
    <w:rsid w:val="00C86370"/>
    <w:rsid w:val="00C8741F"/>
    <w:rsid w:val="00CB1F05"/>
    <w:rsid w:val="00CD3032"/>
    <w:rsid w:val="00D219DE"/>
    <w:rsid w:val="00D30115"/>
    <w:rsid w:val="00D33103"/>
    <w:rsid w:val="00D70700"/>
    <w:rsid w:val="00D75634"/>
    <w:rsid w:val="00D77EC3"/>
    <w:rsid w:val="00D96DA7"/>
    <w:rsid w:val="00DB56C5"/>
    <w:rsid w:val="00DC5433"/>
    <w:rsid w:val="00DD0053"/>
    <w:rsid w:val="00DD205B"/>
    <w:rsid w:val="00DE7627"/>
    <w:rsid w:val="00DF5032"/>
    <w:rsid w:val="00E171F9"/>
    <w:rsid w:val="00E17958"/>
    <w:rsid w:val="00E25FF1"/>
    <w:rsid w:val="00E363FB"/>
    <w:rsid w:val="00EC14E8"/>
    <w:rsid w:val="00F0062F"/>
    <w:rsid w:val="00F04DDB"/>
    <w:rsid w:val="00F175FC"/>
    <w:rsid w:val="00F323E6"/>
    <w:rsid w:val="00F36CDC"/>
    <w:rsid w:val="00F66942"/>
    <w:rsid w:val="00FB1936"/>
    <w:rsid w:val="00FB3DF6"/>
    <w:rsid w:val="00FB46F6"/>
    <w:rsid w:val="00FD3591"/>
    <w:rsid w:val="00FE0699"/>
    <w:rsid w:val="42D83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semiHidden/>
    <w:unhideWhenUsed/>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E3B4DB-9D24-4B9F-A9B1-117144D8BE2D}">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557</Words>
  <Characters>3178</Characters>
  <Lines>26</Lines>
  <Paragraphs>7</Paragraphs>
  <TotalTime>1</TotalTime>
  <ScaleCrop>false</ScaleCrop>
  <LinksUpToDate>false</LinksUpToDate>
  <CharactersWithSpaces>3728</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2020-02-17T07:41:00Z</dcterms:created>
  <dc:creator>xb21cn</dc:creator>
  <cp:lastModifiedBy>Cindy</cp:lastModifiedBy>
  <cp:lastPrinted>2020-03-11T06:32:47Z</cp:lastPrinted>
  <dcterms:modified xsi:type="dcterms:W3CDTF">2020-03-11T06:32:54Z</dcterms:modified>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